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74616" w14:textId="7FAE1B74" w:rsidR="00A61284" w:rsidRPr="00331929" w:rsidRDefault="00A1402B" w:rsidP="00E32357">
      <w:pPr>
        <w:spacing w:line="240" w:lineRule="auto"/>
        <w:ind w:firstLine="540"/>
        <w:jc w:val="center"/>
        <w:rPr>
          <w:rFonts w:ascii="Times New Roman" w:hAnsi="Times New Roman" w:cs="Times New Roman"/>
          <w:b/>
          <w:bCs/>
          <w:lang w:val="es-AR"/>
        </w:rPr>
      </w:pPr>
      <w:r w:rsidRPr="00331929">
        <w:rPr>
          <w:rFonts w:ascii="Times New Roman" w:hAnsi="Times New Roman" w:cs="Times New Roman"/>
          <w:b/>
          <w:bCs/>
          <w:lang w:val="es-AR"/>
        </w:rPr>
        <w:t xml:space="preserve">El Censo Nacional Agropecuario 2018: </w:t>
      </w:r>
      <w:r w:rsidR="004E2566" w:rsidRPr="00331929">
        <w:rPr>
          <w:rFonts w:ascii="Times New Roman" w:hAnsi="Times New Roman" w:cs="Times New Roman"/>
          <w:b/>
          <w:bCs/>
          <w:lang w:val="es-AR"/>
        </w:rPr>
        <w:t xml:space="preserve">Una </w:t>
      </w:r>
      <w:r w:rsidRPr="00331929">
        <w:rPr>
          <w:rFonts w:ascii="Times New Roman" w:hAnsi="Times New Roman" w:cs="Times New Roman"/>
          <w:b/>
          <w:bCs/>
          <w:lang w:val="es-AR"/>
        </w:rPr>
        <w:t xml:space="preserve">aproximación a la </w:t>
      </w:r>
      <w:r w:rsidR="004E2566" w:rsidRPr="00331929">
        <w:rPr>
          <w:rFonts w:ascii="Times New Roman" w:hAnsi="Times New Roman" w:cs="Times New Roman"/>
          <w:b/>
          <w:bCs/>
          <w:lang w:val="es-AR"/>
        </w:rPr>
        <w:t>caracterización</w:t>
      </w:r>
      <w:r w:rsidRPr="00331929">
        <w:rPr>
          <w:rFonts w:ascii="Times New Roman" w:hAnsi="Times New Roman" w:cs="Times New Roman"/>
          <w:b/>
          <w:bCs/>
          <w:lang w:val="es-AR"/>
        </w:rPr>
        <w:t xml:space="preserve"> de l</w:t>
      </w:r>
      <w:r w:rsidR="00E32357">
        <w:rPr>
          <w:rFonts w:ascii="Times New Roman" w:hAnsi="Times New Roman" w:cs="Times New Roman"/>
          <w:b/>
          <w:bCs/>
          <w:lang w:val="es-AR"/>
        </w:rPr>
        <w:t xml:space="preserve">a estructura agraria </w:t>
      </w:r>
      <w:r w:rsidR="0055356C" w:rsidRPr="00331929">
        <w:rPr>
          <w:rFonts w:ascii="Times New Roman" w:hAnsi="Times New Roman" w:cs="Times New Roman"/>
          <w:b/>
          <w:bCs/>
          <w:lang w:val="es-AR"/>
        </w:rPr>
        <w:t>de Salta</w:t>
      </w:r>
    </w:p>
    <w:p w14:paraId="4728AF8E" w14:textId="77777777" w:rsidR="003619BF" w:rsidRPr="00331929" w:rsidRDefault="003619BF" w:rsidP="00AC03A4">
      <w:pPr>
        <w:spacing w:after="0" w:line="240" w:lineRule="auto"/>
        <w:ind w:firstLine="540"/>
        <w:jc w:val="both"/>
        <w:rPr>
          <w:rFonts w:ascii="Times New Roman" w:hAnsi="Times New Roman" w:cs="Times New Roman"/>
          <w:bCs/>
          <w:lang w:val="es-AR"/>
        </w:rPr>
      </w:pPr>
      <w:r w:rsidRPr="00331929">
        <w:rPr>
          <w:rFonts w:ascii="Times New Roman" w:hAnsi="Times New Roman" w:cs="Times New Roman"/>
          <w:bCs/>
          <w:lang w:val="es-AR"/>
        </w:rPr>
        <w:t>Dra. Marta Cristina Sanz</w:t>
      </w:r>
    </w:p>
    <w:p w14:paraId="7EE3B446" w14:textId="77777777" w:rsidR="00A61284" w:rsidRPr="00331929" w:rsidRDefault="00A61284" w:rsidP="00AC03A4">
      <w:pPr>
        <w:spacing w:line="240" w:lineRule="auto"/>
        <w:ind w:firstLine="540"/>
        <w:jc w:val="both"/>
        <w:rPr>
          <w:rFonts w:ascii="Times New Roman" w:hAnsi="Times New Roman" w:cs="Times New Roman"/>
          <w:bCs/>
          <w:lang w:val="es-AR"/>
        </w:rPr>
      </w:pPr>
      <w:r w:rsidRPr="00331929">
        <w:rPr>
          <w:rFonts w:ascii="Times New Roman" w:hAnsi="Times New Roman" w:cs="Times New Roman"/>
          <w:bCs/>
          <w:lang w:val="es-AR"/>
        </w:rPr>
        <w:t>Dr.</w:t>
      </w:r>
      <w:r w:rsidR="00343CE2" w:rsidRPr="00331929">
        <w:rPr>
          <w:rFonts w:ascii="Times New Roman" w:hAnsi="Times New Roman" w:cs="Times New Roman"/>
          <w:bCs/>
          <w:lang w:val="es-AR"/>
        </w:rPr>
        <w:t xml:space="preserve"> </w:t>
      </w:r>
      <w:r w:rsidRPr="00331929">
        <w:rPr>
          <w:rFonts w:ascii="Times New Roman" w:hAnsi="Times New Roman" w:cs="Times New Roman"/>
          <w:bCs/>
          <w:lang w:val="es-AR"/>
        </w:rPr>
        <w:t>Marcelo Armando Rodríguez Faraldo</w:t>
      </w:r>
    </w:p>
    <w:p w14:paraId="0087CB88" w14:textId="77777777" w:rsidR="006878CE" w:rsidRPr="00331929" w:rsidRDefault="00534E2E" w:rsidP="00AC03A4">
      <w:pPr>
        <w:spacing w:after="0" w:line="240" w:lineRule="auto"/>
        <w:ind w:firstLine="540"/>
        <w:jc w:val="both"/>
        <w:rPr>
          <w:rFonts w:ascii="Times New Roman" w:hAnsi="Times New Roman" w:cs="Times New Roman"/>
          <w:b/>
          <w:lang w:val="es-AR"/>
        </w:rPr>
      </w:pPr>
      <w:r w:rsidRPr="00331929">
        <w:rPr>
          <w:rFonts w:ascii="Times New Roman" w:hAnsi="Times New Roman" w:cs="Times New Roman"/>
          <w:lang w:val="es-AR"/>
        </w:rPr>
        <w:t>La provincia de Salta present</w:t>
      </w:r>
      <w:r w:rsidR="002A68AD" w:rsidRPr="00331929">
        <w:rPr>
          <w:rFonts w:ascii="Times New Roman" w:hAnsi="Times New Roman" w:cs="Times New Roman"/>
          <w:lang w:val="es-AR"/>
        </w:rPr>
        <w:t>a</w:t>
      </w:r>
      <w:r w:rsidRPr="00331929">
        <w:rPr>
          <w:rFonts w:ascii="Times New Roman" w:hAnsi="Times New Roman" w:cs="Times New Roman"/>
          <w:lang w:val="es-AR"/>
        </w:rPr>
        <w:t xml:space="preserve"> una marcada </w:t>
      </w:r>
      <w:r w:rsidR="00EF26CA" w:rsidRPr="00331929">
        <w:rPr>
          <w:rFonts w:ascii="Times New Roman" w:hAnsi="Times New Roman" w:cs="Times New Roman"/>
          <w:lang w:val="es-AR"/>
        </w:rPr>
        <w:t>heterogeneidad</w:t>
      </w:r>
      <w:r w:rsidRPr="00331929">
        <w:rPr>
          <w:rFonts w:ascii="Times New Roman" w:hAnsi="Times New Roman" w:cs="Times New Roman"/>
          <w:lang w:val="es-AR"/>
        </w:rPr>
        <w:t xml:space="preserve"> sociocultural, </w:t>
      </w:r>
      <w:r w:rsidR="0065697D" w:rsidRPr="00331929">
        <w:rPr>
          <w:rFonts w:ascii="Times New Roman" w:hAnsi="Times New Roman" w:cs="Times New Roman"/>
          <w:lang w:val="es-AR"/>
        </w:rPr>
        <w:t>ambiental, y productiva</w:t>
      </w:r>
      <w:r w:rsidR="006878CE" w:rsidRPr="00331929">
        <w:rPr>
          <w:rFonts w:ascii="Times New Roman" w:hAnsi="Times New Roman" w:cs="Times New Roman"/>
          <w:lang w:val="es-AR"/>
        </w:rPr>
        <w:t xml:space="preserve">, en donde </w:t>
      </w:r>
      <w:r w:rsidR="00377B0A" w:rsidRPr="00331929">
        <w:rPr>
          <w:rFonts w:ascii="Times New Roman" w:hAnsi="Times New Roman" w:cs="Times New Roman"/>
          <w:lang w:val="es-AR"/>
        </w:rPr>
        <w:t xml:space="preserve">podemos diferenciar cinco </w:t>
      </w:r>
      <w:r w:rsidR="006878CE" w:rsidRPr="00331929">
        <w:rPr>
          <w:rFonts w:ascii="Times New Roman" w:hAnsi="Times New Roman" w:cs="Times New Roman"/>
          <w:lang w:val="es-AR"/>
        </w:rPr>
        <w:t>regiones que presen</w:t>
      </w:r>
      <w:r w:rsidR="00370284" w:rsidRPr="00331929">
        <w:rPr>
          <w:rFonts w:ascii="Times New Roman" w:hAnsi="Times New Roman" w:cs="Times New Roman"/>
          <w:lang w:val="es-AR"/>
        </w:rPr>
        <w:t xml:space="preserve">tan características ecológicas, productivas </w:t>
      </w:r>
      <w:r w:rsidR="00003AC4" w:rsidRPr="00331929">
        <w:rPr>
          <w:rFonts w:ascii="Times New Roman" w:hAnsi="Times New Roman" w:cs="Times New Roman"/>
          <w:lang w:val="es-AR"/>
        </w:rPr>
        <w:t>y socioculturales</w:t>
      </w:r>
      <w:r w:rsidR="006878CE" w:rsidRPr="00331929">
        <w:rPr>
          <w:rFonts w:ascii="Times New Roman" w:hAnsi="Times New Roman" w:cs="Times New Roman"/>
          <w:lang w:val="es-AR"/>
        </w:rPr>
        <w:t xml:space="preserve"> part</w:t>
      </w:r>
      <w:bookmarkStart w:id="0" w:name="_GoBack"/>
      <w:bookmarkEnd w:id="0"/>
      <w:r w:rsidR="006878CE" w:rsidRPr="00331929">
        <w:rPr>
          <w:rFonts w:ascii="Times New Roman" w:hAnsi="Times New Roman" w:cs="Times New Roman"/>
          <w:lang w:val="es-AR"/>
        </w:rPr>
        <w:t xml:space="preserve">iculares: </w:t>
      </w:r>
      <w:r w:rsidR="00377B0A" w:rsidRPr="00331929">
        <w:rPr>
          <w:rFonts w:ascii="Times New Roman" w:hAnsi="Times New Roman" w:cs="Times New Roman"/>
          <w:lang w:val="es-AR"/>
        </w:rPr>
        <w:t>Puna</w:t>
      </w:r>
      <w:r w:rsidR="006878CE" w:rsidRPr="00331929">
        <w:rPr>
          <w:rFonts w:ascii="Times New Roman" w:hAnsi="Times New Roman" w:cs="Times New Roman"/>
          <w:lang w:val="es-AR"/>
        </w:rPr>
        <w:t>; Valles Ca</w:t>
      </w:r>
      <w:r w:rsidR="00370284" w:rsidRPr="00331929">
        <w:rPr>
          <w:rFonts w:ascii="Times New Roman" w:hAnsi="Times New Roman" w:cs="Times New Roman"/>
          <w:lang w:val="es-AR"/>
        </w:rPr>
        <w:t>l</w:t>
      </w:r>
      <w:r w:rsidR="006878CE" w:rsidRPr="00331929">
        <w:rPr>
          <w:rFonts w:ascii="Times New Roman" w:hAnsi="Times New Roman" w:cs="Times New Roman"/>
          <w:lang w:val="es-AR"/>
        </w:rPr>
        <w:t xml:space="preserve">chaquíes; Valles </w:t>
      </w:r>
      <w:r w:rsidR="00370284" w:rsidRPr="00331929">
        <w:rPr>
          <w:rFonts w:ascii="Times New Roman" w:hAnsi="Times New Roman" w:cs="Times New Roman"/>
          <w:lang w:val="es-AR"/>
        </w:rPr>
        <w:t>Templados;</w:t>
      </w:r>
      <w:r w:rsidR="006878CE" w:rsidRPr="00331929">
        <w:rPr>
          <w:rFonts w:ascii="Times New Roman" w:hAnsi="Times New Roman" w:cs="Times New Roman"/>
          <w:lang w:val="es-AR"/>
        </w:rPr>
        <w:t xml:space="preserve"> Yungas y Región Chaqueña.</w:t>
      </w:r>
    </w:p>
    <w:p w14:paraId="7497DBAC" w14:textId="77777777" w:rsidR="00377B0A" w:rsidRPr="00331929" w:rsidRDefault="0065697D" w:rsidP="00AC03A4">
      <w:pPr>
        <w:spacing w:after="0" w:line="240" w:lineRule="auto"/>
        <w:ind w:firstLine="540"/>
        <w:jc w:val="both"/>
        <w:rPr>
          <w:rFonts w:ascii="Times New Roman" w:hAnsi="Times New Roman" w:cs="Times New Roman"/>
          <w:lang w:val="es-AR"/>
        </w:rPr>
      </w:pPr>
      <w:r w:rsidRPr="00331929">
        <w:rPr>
          <w:rFonts w:ascii="Times New Roman" w:hAnsi="Times New Roman" w:cs="Times New Roman"/>
          <w:lang w:val="es-AR"/>
        </w:rPr>
        <w:t xml:space="preserve">La estructura agraria actual </w:t>
      </w:r>
      <w:r w:rsidR="008E51CB" w:rsidRPr="00331929">
        <w:rPr>
          <w:rFonts w:ascii="Times New Roman" w:hAnsi="Times New Roman" w:cs="Times New Roman"/>
          <w:lang w:val="es-AR"/>
        </w:rPr>
        <w:t>pro</w:t>
      </w:r>
      <w:r w:rsidRPr="00331929">
        <w:rPr>
          <w:rFonts w:ascii="Times New Roman" w:hAnsi="Times New Roman" w:cs="Times New Roman"/>
          <w:lang w:val="es-AR"/>
        </w:rPr>
        <w:t>viene</w:t>
      </w:r>
      <w:r w:rsidR="00EF26CA" w:rsidRPr="00331929">
        <w:rPr>
          <w:rFonts w:ascii="Times New Roman" w:hAnsi="Times New Roman" w:cs="Times New Roman"/>
          <w:lang w:val="es-AR"/>
        </w:rPr>
        <w:t xml:space="preserve"> de una historia económica donde podemos identificar tres etapas principales, las cuales se encuentran relacionadas fundamentalmente con la especialización productiva de cada momento: a) la </w:t>
      </w:r>
      <w:r w:rsidR="00EF26CA" w:rsidRPr="00331929">
        <w:rPr>
          <w:rFonts w:ascii="Times New Roman" w:hAnsi="Times New Roman" w:cs="Times New Roman"/>
          <w:i/>
          <w:lang w:val="es-AR"/>
        </w:rPr>
        <w:t>Etapa de la ganadería mular</w:t>
      </w:r>
      <w:r w:rsidR="00EF26CA" w:rsidRPr="00331929">
        <w:rPr>
          <w:rFonts w:ascii="Times New Roman" w:hAnsi="Times New Roman" w:cs="Times New Roman"/>
          <w:lang w:val="es-AR"/>
        </w:rPr>
        <w:t xml:space="preserve"> (época colonial-1884), b) la </w:t>
      </w:r>
      <w:r w:rsidR="00EF26CA" w:rsidRPr="00331929">
        <w:rPr>
          <w:rFonts w:ascii="Times New Roman" w:hAnsi="Times New Roman" w:cs="Times New Roman"/>
          <w:i/>
          <w:lang w:val="es-AR"/>
        </w:rPr>
        <w:t>Etapa de la ganadería bovina</w:t>
      </w:r>
      <w:r w:rsidR="00EF26CA" w:rsidRPr="00331929">
        <w:rPr>
          <w:rFonts w:ascii="Times New Roman" w:hAnsi="Times New Roman" w:cs="Times New Roman"/>
          <w:lang w:val="es-AR"/>
        </w:rPr>
        <w:t xml:space="preserve"> (1884-1929) y c) la </w:t>
      </w:r>
      <w:r w:rsidR="00EF26CA" w:rsidRPr="00331929">
        <w:rPr>
          <w:rFonts w:ascii="Times New Roman" w:hAnsi="Times New Roman" w:cs="Times New Roman"/>
          <w:i/>
          <w:lang w:val="es-AR"/>
        </w:rPr>
        <w:t>Etapa de los cultivos industriales</w:t>
      </w:r>
      <w:r w:rsidR="00EF26CA" w:rsidRPr="00331929">
        <w:rPr>
          <w:rFonts w:ascii="Times New Roman" w:hAnsi="Times New Roman" w:cs="Times New Roman"/>
          <w:lang w:val="es-AR"/>
        </w:rPr>
        <w:t>, principalmente caña de azúcar y tabaco (1930-Actualidad)</w:t>
      </w:r>
      <w:r w:rsidR="00377B0A" w:rsidRPr="00331929">
        <w:rPr>
          <w:rFonts w:ascii="Times New Roman" w:hAnsi="Times New Roman" w:cs="Times New Roman"/>
          <w:lang w:val="es-AR"/>
        </w:rPr>
        <w:t>. A esta última etapa,</w:t>
      </w:r>
      <w:r w:rsidR="00EF26CA" w:rsidRPr="00331929">
        <w:rPr>
          <w:rFonts w:ascii="Times New Roman" w:hAnsi="Times New Roman" w:cs="Times New Roman"/>
          <w:lang w:val="es-AR"/>
        </w:rPr>
        <w:t xml:space="preserve"> posteriormente se le sumaron otras especializaciones productivas, tales como las legumbres (principalmente poroto</w:t>
      </w:r>
      <w:r w:rsidR="005B262E" w:rsidRPr="00331929">
        <w:rPr>
          <w:rFonts w:ascii="Times New Roman" w:hAnsi="Times New Roman" w:cs="Times New Roman"/>
          <w:lang w:val="es-AR"/>
        </w:rPr>
        <w:t>), oleaginosas (</w:t>
      </w:r>
      <w:r w:rsidR="00EF26CA" w:rsidRPr="00331929">
        <w:rPr>
          <w:rFonts w:ascii="Times New Roman" w:hAnsi="Times New Roman" w:cs="Times New Roman"/>
          <w:lang w:val="es-AR"/>
        </w:rPr>
        <w:t>soja) y los cultivos tropicales</w:t>
      </w:r>
      <w:r w:rsidR="003619BF" w:rsidRPr="00331929">
        <w:rPr>
          <w:rFonts w:ascii="Times New Roman" w:hAnsi="Times New Roman" w:cs="Times New Roman"/>
          <w:lang w:val="es-AR"/>
        </w:rPr>
        <w:t xml:space="preserve"> (Rodríguez Faraldo, 2010).</w:t>
      </w:r>
      <w:r w:rsidR="00377B0A" w:rsidRPr="00331929">
        <w:rPr>
          <w:rFonts w:ascii="Times New Roman" w:hAnsi="Times New Roman" w:cs="Times New Roman"/>
          <w:lang w:val="es-AR"/>
        </w:rPr>
        <w:t xml:space="preserve"> </w:t>
      </w:r>
    </w:p>
    <w:p w14:paraId="00D34954" w14:textId="77777777" w:rsidR="00641016" w:rsidRPr="00331929" w:rsidRDefault="00377B0A" w:rsidP="00AC03A4">
      <w:pPr>
        <w:spacing w:after="0" w:line="240" w:lineRule="auto"/>
        <w:ind w:firstLine="540"/>
        <w:jc w:val="both"/>
        <w:rPr>
          <w:rFonts w:ascii="Times New Roman" w:hAnsi="Times New Roman" w:cs="Times New Roman"/>
          <w:lang w:val="es-AR"/>
        </w:rPr>
      </w:pPr>
      <w:r w:rsidRPr="00331929">
        <w:rPr>
          <w:rFonts w:ascii="Times New Roman" w:hAnsi="Times New Roman" w:cs="Times New Roman"/>
          <w:lang w:val="es-AR"/>
        </w:rPr>
        <w:t>Durante estos ciclos se fueron sucediendo</w:t>
      </w:r>
      <w:r w:rsidR="00641016" w:rsidRPr="00331929">
        <w:rPr>
          <w:rFonts w:ascii="Times New Roman" w:hAnsi="Times New Roman" w:cs="Times New Roman"/>
          <w:lang w:val="es-AR"/>
        </w:rPr>
        <w:t xml:space="preserve"> diversos reordenamientos en el poder econó</w:t>
      </w:r>
      <w:r w:rsidRPr="00331929">
        <w:rPr>
          <w:rFonts w:ascii="Times New Roman" w:hAnsi="Times New Roman" w:cs="Times New Roman"/>
          <w:lang w:val="es-AR"/>
        </w:rPr>
        <w:t>mico y político provincial</w:t>
      </w:r>
      <w:r w:rsidR="00641016" w:rsidRPr="00331929">
        <w:rPr>
          <w:rFonts w:ascii="Times New Roman" w:hAnsi="Times New Roman" w:cs="Times New Roman"/>
          <w:lang w:val="es-AR"/>
        </w:rPr>
        <w:t>, donde emergieron nuevos grupos sociales, cuyos intereses se vieron beneficiados, en desme</w:t>
      </w:r>
      <w:r w:rsidR="003619BF" w:rsidRPr="00331929">
        <w:rPr>
          <w:rFonts w:ascii="Times New Roman" w:hAnsi="Times New Roman" w:cs="Times New Roman"/>
          <w:lang w:val="es-AR"/>
        </w:rPr>
        <w:t>dro de otros sectores sociales. E</w:t>
      </w:r>
      <w:r w:rsidR="00641016" w:rsidRPr="00331929">
        <w:rPr>
          <w:rFonts w:ascii="Times New Roman" w:hAnsi="Times New Roman" w:cs="Times New Roman"/>
          <w:lang w:val="es-AR"/>
        </w:rPr>
        <w:t>ntre los grupos sociales perjudicados por este reordenamiento, figuran miles de familias campesinas y de pueblos indígenas ubicados en las áreas de expansión agropecuaria que sufrieron desalojos</w:t>
      </w:r>
      <w:r w:rsidR="005B262E" w:rsidRPr="00331929">
        <w:rPr>
          <w:rFonts w:ascii="Times New Roman" w:hAnsi="Times New Roman" w:cs="Times New Roman"/>
          <w:lang w:val="es-AR"/>
        </w:rPr>
        <w:t xml:space="preserve"> y/o están insertos</w:t>
      </w:r>
      <w:r w:rsidR="00641016" w:rsidRPr="00331929">
        <w:rPr>
          <w:rFonts w:ascii="Times New Roman" w:hAnsi="Times New Roman" w:cs="Times New Roman"/>
          <w:lang w:val="es-AR"/>
        </w:rPr>
        <w:t xml:space="preserve"> en situaciones de alta conflictividad</w:t>
      </w:r>
      <w:r w:rsidR="005B262E" w:rsidRPr="00331929">
        <w:rPr>
          <w:rFonts w:ascii="Times New Roman" w:hAnsi="Times New Roman" w:cs="Times New Roman"/>
          <w:lang w:val="es-AR"/>
        </w:rPr>
        <w:t>.</w:t>
      </w:r>
    </w:p>
    <w:p w14:paraId="44B0D37D" w14:textId="274B2D0C" w:rsidR="00835062" w:rsidRPr="00331929" w:rsidRDefault="00EF26CA" w:rsidP="00AC03A4">
      <w:pPr>
        <w:spacing w:after="0" w:line="240" w:lineRule="auto"/>
        <w:ind w:firstLine="540"/>
        <w:jc w:val="both"/>
        <w:rPr>
          <w:rFonts w:ascii="Times New Roman" w:hAnsi="Times New Roman" w:cs="Times New Roman"/>
          <w:lang w:val="es-AR"/>
        </w:rPr>
      </w:pPr>
      <w:r w:rsidRPr="00331929">
        <w:rPr>
          <w:rFonts w:ascii="Times New Roman" w:hAnsi="Times New Roman" w:cs="Times New Roman"/>
          <w:lang w:val="es-AR"/>
        </w:rPr>
        <w:t xml:space="preserve">Con la progresiva especialización productiva de la provincia de Salta hacia cultivos industriales orientados hacia mercados externos, se transformó esta región, de ser autosuficiente en la producción y abastecimiento de sus necesidades alimenticias básicas, </w:t>
      </w:r>
      <w:r w:rsidR="00AC0523">
        <w:rPr>
          <w:rFonts w:ascii="Times New Roman" w:hAnsi="Times New Roman" w:cs="Times New Roman"/>
          <w:lang w:val="es-AR"/>
        </w:rPr>
        <w:t xml:space="preserve">en </w:t>
      </w:r>
      <w:r w:rsidRPr="00331929">
        <w:rPr>
          <w:rFonts w:ascii="Times New Roman" w:hAnsi="Times New Roman" w:cs="Times New Roman"/>
          <w:lang w:val="es-AR"/>
        </w:rPr>
        <w:t>una región totalmente dependiente de este tipo de bienes, perdiendo su autosuficiencia alimentaria</w:t>
      </w:r>
      <w:r w:rsidRPr="00331929">
        <w:rPr>
          <w:rStyle w:val="Refdenotaalpie"/>
          <w:rFonts w:ascii="Times New Roman" w:hAnsi="Times New Roman" w:cs="Times New Roman"/>
        </w:rPr>
        <w:footnoteReference w:id="1"/>
      </w:r>
      <w:r w:rsidR="00011E11" w:rsidRPr="00331929">
        <w:rPr>
          <w:rFonts w:ascii="Times New Roman" w:hAnsi="Times New Roman" w:cs="Times New Roman"/>
          <w:lang w:val="es-AR"/>
        </w:rPr>
        <w:t>.</w:t>
      </w:r>
      <w:r w:rsidR="002A68AD" w:rsidRPr="00331929">
        <w:rPr>
          <w:rFonts w:ascii="Times New Roman" w:hAnsi="Times New Roman" w:cs="Times New Roman"/>
          <w:lang w:val="es-AR"/>
        </w:rPr>
        <w:t xml:space="preserve"> </w:t>
      </w:r>
    </w:p>
    <w:p w14:paraId="4EAE3030" w14:textId="77777777" w:rsidR="00011E11" w:rsidRPr="00331929" w:rsidRDefault="00011E11" w:rsidP="00AC03A4">
      <w:pPr>
        <w:spacing w:after="0" w:line="240" w:lineRule="auto"/>
        <w:ind w:firstLine="540"/>
        <w:jc w:val="both"/>
        <w:rPr>
          <w:rFonts w:ascii="Times New Roman" w:hAnsi="Times New Roman" w:cs="Times New Roman"/>
          <w:lang w:val="es-AR"/>
        </w:rPr>
      </w:pPr>
      <w:r w:rsidRPr="00331929">
        <w:rPr>
          <w:rFonts w:ascii="Times New Roman" w:hAnsi="Times New Roman" w:cs="Times New Roman"/>
          <w:lang w:val="es-AR"/>
        </w:rPr>
        <w:t xml:space="preserve">El desarrollo de las actividades productivas estuvo ligado históricamente a la persistencia de un campesinado proveniente de diversos territorios, especialmente del área andina de las provincias de Salta y Jujuy, así como del sur de Bolivia, el cual basa su subsistencia en la implementación de diversas estrategias de reproducción de su economía familiar. Estos territorios, </w:t>
      </w:r>
      <w:r w:rsidR="007E1861" w:rsidRPr="00331929">
        <w:rPr>
          <w:rFonts w:ascii="Times New Roman" w:hAnsi="Times New Roman" w:cs="Times New Roman"/>
          <w:lang w:val="es-AR"/>
        </w:rPr>
        <w:t xml:space="preserve">que </w:t>
      </w:r>
      <w:r w:rsidRPr="00331929">
        <w:rPr>
          <w:rFonts w:ascii="Times New Roman" w:hAnsi="Times New Roman" w:cs="Times New Roman"/>
          <w:lang w:val="es-AR"/>
        </w:rPr>
        <w:t xml:space="preserve">sirvieron históricamente como </w:t>
      </w:r>
      <w:r w:rsidR="007E1861" w:rsidRPr="00331929">
        <w:rPr>
          <w:rFonts w:ascii="Times New Roman" w:hAnsi="Times New Roman" w:cs="Times New Roman"/>
          <w:lang w:val="es-AR"/>
        </w:rPr>
        <w:t>“reservorios de mano de obra”, están caracter</w:t>
      </w:r>
      <w:r w:rsidR="003619BF" w:rsidRPr="00331929">
        <w:rPr>
          <w:rFonts w:ascii="Times New Roman" w:hAnsi="Times New Roman" w:cs="Times New Roman"/>
          <w:lang w:val="es-AR"/>
        </w:rPr>
        <w:t xml:space="preserve">izados por la presencia de EAPs </w:t>
      </w:r>
      <w:r w:rsidR="007E1861" w:rsidRPr="00331929">
        <w:rPr>
          <w:rFonts w:ascii="Times New Roman" w:hAnsi="Times New Roman" w:cs="Times New Roman"/>
          <w:lang w:val="es-AR"/>
        </w:rPr>
        <w:t xml:space="preserve">sin límites definidos, que en el caso de Salta para el año 2002 representaban un </w:t>
      </w:r>
      <w:r w:rsidR="00241D53" w:rsidRPr="00331929">
        <w:rPr>
          <w:rFonts w:ascii="Times New Roman" w:hAnsi="Times New Roman" w:cs="Times New Roman"/>
          <w:lang w:val="es-AR"/>
        </w:rPr>
        <w:t xml:space="preserve">45,86 % del total de las </w:t>
      </w:r>
      <w:r w:rsidR="00370284" w:rsidRPr="00331929">
        <w:rPr>
          <w:rFonts w:ascii="Times New Roman" w:hAnsi="Times New Roman" w:cs="Times New Roman"/>
          <w:lang w:val="es-AR"/>
        </w:rPr>
        <w:t>explotaciones,</w:t>
      </w:r>
      <w:r w:rsidR="006878CE" w:rsidRPr="00331929">
        <w:rPr>
          <w:rFonts w:ascii="Times New Roman" w:hAnsi="Times New Roman" w:cs="Times New Roman"/>
          <w:lang w:val="es-AR"/>
        </w:rPr>
        <w:t xml:space="preserve"> en su mayoría con dificultades para </w:t>
      </w:r>
      <w:r w:rsidR="007E1861" w:rsidRPr="00331929">
        <w:rPr>
          <w:rFonts w:ascii="Times New Roman" w:hAnsi="Times New Roman" w:cs="Times New Roman"/>
          <w:lang w:val="es-AR"/>
        </w:rPr>
        <w:t xml:space="preserve">el acceso al financiamiento y </w:t>
      </w:r>
      <w:r w:rsidR="006878CE" w:rsidRPr="00331929">
        <w:rPr>
          <w:rFonts w:ascii="Times New Roman" w:hAnsi="Times New Roman" w:cs="Times New Roman"/>
          <w:lang w:val="es-AR"/>
        </w:rPr>
        <w:t xml:space="preserve">en </w:t>
      </w:r>
      <w:r w:rsidR="00753CD5" w:rsidRPr="00331929">
        <w:rPr>
          <w:rFonts w:ascii="Times New Roman" w:hAnsi="Times New Roman" w:cs="Times New Roman"/>
          <w:lang w:val="es-AR"/>
        </w:rPr>
        <w:t>situaciones de pobreza.</w:t>
      </w:r>
    </w:p>
    <w:p w14:paraId="0B7B7536" w14:textId="54BBF047" w:rsidR="00A1402B" w:rsidRPr="00331929" w:rsidRDefault="00A5717E" w:rsidP="00AC03A4">
      <w:pPr>
        <w:spacing w:after="0"/>
        <w:ind w:firstLine="540"/>
        <w:jc w:val="both"/>
        <w:rPr>
          <w:rFonts w:ascii="Times New Roman" w:hAnsi="Times New Roman" w:cs="Times New Roman"/>
          <w:lang w:val="es-AR"/>
        </w:rPr>
      </w:pPr>
      <w:r w:rsidRPr="00331929">
        <w:rPr>
          <w:rFonts w:ascii="Times New Roman" w:hAnsi="Times New Roman" w:cs="Times New Roman"/>
          <w:lang w:val="es-AR"/>
        </w:rPr>
        <w:t xml:space="preserve">El sector </w:t>
      </w:r>
      <w:r w:rsidR="00F627D8" w:rsidRPr="00331929">
        <w:rPr>
          <w:rFonts w:ascii="Times New Roman" w:hAnsi="Times New Roman" w:cs="Times New Roman"/>
          <w:lang w:val="es-AR"/>
        </w:rPr>
        <w:t>agropecuario</w:t>
      </w:r>
      <w:r w:rsidRPr="00331929">
        <w:rPr>
          <w:rFonts w:ascii="Times New Roman" w:hAnsi="Times New Roman" w:cs="Times New Roman"/>
          <w:lang w:val="es-AR"/>
        </w:rPr>
        <w:t xml:space="preserve"> es uno de los de mayor relevancia en la provincia, </w:t>
      </w:r>
      <w:r w:rsidR="00B8358C">
        <w:rPr>
          <w:rFonts w:ascii="Times New Roman" w:hAnsi="Times New Roman" w:cs="Times New Roman"/>
          <w:lang w:val="es-AR"/>
        </w:rPr>
        <w:t>según datos de la</w:t>
      </w:r>
      <w:r w:rsidR="0072400F" w:rsidRPr="00331929">
        <w:rPr>
          <w:rFonts w:ascii="Times New Roman" w:hAnsi="Times New Roman" w:cs="Times New Roman"/>
          <w:lang w:val="es-AR"/>
        </w:rPr>
        <w:t xml:space="preserve"> DGE</w:t>
      </w:r>
      <w:r w:rsidR="0072400F" w:rsidRPr="00331929">
        <w:rPr>
          <w:rStyle w:val="Refdenotaalpie"/>
          <w:rFonts w:ascii="Times New Roman" w:hAnsi="Times New Roman" w:cs="Times New Roman"/>
          <w:lang w:val="es-AR"/>
        </w:rPr>
        <w:footnoteReference w:id="2"/>
      </w:r>
      <w:r w:rsidR="0072400F" w:rsidRPr="00331929">
        <w:rPr>
          <w:rFonts w:ascii="Times New Roman" w:hAnsi="Times New Roman" w:cs="Times New Roman"/>
          <w:lang w:val="es-AR"/>
        </w:rPr>
        <w:t xml:space="preserve">, </w:t>
      </w:r>
      <w:r w:rsidR="00D865EC" w:rsidRPr="00331929">
        <w:rPr>
          <w:rFonts w:ascii="Times New Roman" w:hAnsi="Times New Roman" w:cs="Times New Roman"/>
          <w:lang w:val="es-AR"/>
        </w:rPr>
        <w:t xml:space="preserve">en el año 2012 </w:t>
      </w:r>
      <w:r w:rsidRPr="00331929">
        <w:rPr>
          <w:rFonts w:ascii="Times New Roman" w:hAnsi="Times New Roman" w:cs="Times New Roman"/>
          <w:lang w:val="es-AR"/>
        </w:rPr>
        <w:t>genera</w:t>
      </w:r>
      <w:r w:rsidR="00D865EC" w:rsidRPr="00331929">
        <w:rPr>
          <w:rFonts w:ascii="Times New Roman" w:hAnsi="Times New Roman" w:cs="Times New Roman"/>
          <w:lang w:val="es-AR"/>
        </w:rPr>
        <w:t xml:space="preserve">ba </w:t>
      </w:r>
      <w:r w:rsidRPr="00331929">
        <w:rPr>
          <w:rFonts w:ascii="Times New Roman" w:hAnsi="Times New Roman" w:cs="Times New Roman"/>
          <w:lang w:val="es-AR"/>
        </w:rPr>
        <w:t xml:space="preserve">el 12,4 % del PBG </w:t>
      </w:r>
      <w:r w:rsidR="0072400F" w:rsidRPr="00331929">
        <w:rPr>
          <w:rFonts w:ascii="Times New Roman" w:hAnsi="Times New Roman" w:cs="Times New Roman"/>
          <w:lang w:val="es-AR"/>
        </w:rPr>
        <w:t xml:space="preserve">y </w:t>
      </w:r>
      <w:r w:rsidRPr="00331929">
        <w:rPr>
          <w:rFonts w:ascii="Times New Roman" w:hAnsi="Times New Roman" w:cs="Times New Roman"/>
          <w:lang w:val="es-AR"/>
        </w:rPr>
        <w:t>en el 2017</w:t>
      </w:r>
      <w:r w:rsidR="003619BF" w:rsidRPr="00331929">
        <w:rPr>
          <w:rFonts w:ascii="Times New Roman" w:hAnsi="Times New Roman" w:cs="Times New Roman"/>
          <w:lang w:val="es-AR"/>
        </w:rPr>
        <w:t xml:space="preserve"> el sector generó el 14 % del</w:t>
      </w:r>
      <w:r w:rsidRPr="00331929">
        <w:rPr>
          <w:rFonts w:ascii="Times New Roman" w:hAnsi="Times New Roman" w:cs="Times New Roman"/>
          <w:lang w:val="es-AR"/>
        </w:rPr>
        <w:t xml:space="preserve"> Valor Agregado Bruto; destacándose</w:t>
      </w:r>
      <w:r w:rsidR="00FA35A4" w:rsidRPr="00331929">
        <w:rPr>
          <w:rFonts w:ascii="Times New Roman" w:hAnsi="Times New Roman" w:cs="Times New Roman"/>
          <w:lang w:val="es-AR"/>
        </w:rPr>
        <w:t xml:space="preserve"> </w:t>
      </w:r>
      <w:r w:rsidRPr="00331929">
        <w:rPr>
          <w:rFonts w:ascii="Times New Roman" w:hAnsi="Times New Roman" w:cs="Times New Roman"/>
          <w:lang w:val="es-AR"/>
        </w:rPr>
        <w:t>tabaco y caña de azúcar e</w:t>
      </w:r>
      <w:r w:rsidR="00D0379A" w:rsidRPr="00331929">
        <w:rPr>
          <w:rFonts w:ascii="Times New Roman" w:hAnsi="Times New Roman" w:cs="Times New Roman"/>
          <w:lang w:val="es-AR"/>
        </w:rPr>
        <w:t>ntre los cultivos industriales. E</w:t>
      </w:r>
      <w:r w:rsidRPr="00331929">
        <w:rPr>
          <w:rFonts w:ascii="Times New Roman" w:hAnsi="Times New Roman" w:cs="Times New Roman"/>
          <w:lang w:val="es-AR"/>
        </w:rPr>
        <w:t>ntre los extensivos</w:t>
      </w:r>
      <w:r w:rsidR="00D0379A" w:rsidRPr="00331929">
        <w:rPr>
          <w:rFonts w:ascii="Times New Roman" w:hAnsi="Times New Roman" w:cs="Times New Roman"/>
          <w:lang w:val="es-AR"/>
        </w:rPr>
        <w:t>, predominan</w:t>
      </w:r>
      <w:r w:rsidRPr="00331929">
        <w:rPr>
          <w:rFonts w:ascii="Times New Roman" w:hAnsi="Times New Roman" w:cs="Times New Roman"/>
          <w:lang w:val="es-AR"/>
        </w:rPr>
        <w:t xml:space="preserve"> soja,</w:t>
      </w:r>
      <w:r w:rsidR="004A44F9" w:rsidRPr="00331929">
        <w:rPr>
          <w:rFonts w:ascii="Times New Roman" w:hAnsi="Times New Roman" w:cs="Times New Roman"/>
          <w:lang w:val="es-AR"/>
        </w:rPr>
        <w:t xml:space="preserve"> maíz y</w:t>
      </w:r>
      <w:r w:rsidRPr="00331929">
        <w:rPr>
          <w:rFonts w:ascii="Times New Roman" w:hAnsi="Times New Roman" w:cs="Times New Roman"/>
          <w:lang w:val="es-AR"/>
        </w:rPr>
        <w:t xml:space="preserve"> poroto</w:t>
      </w:r>
      <w:r w:rsidR="004A44F9" w:rsidRPr="00331929">
        <w:rPr>
          <w:rFonts w:ascii="Times New Roman" w:hAnsi="Times New Roman" w:cs="Times New Roman"/>
          <w:lang w:val="es-AR"/>
        </w:rPr>
        <w:t xml:space="preserve">, cultivo </w:t>
      </w:r>
      <w:r w:rsidR="00D0379A" w:rsidRPr="00331929">
        <w:rPr>
          <w:rFonts w:ascii="Times New Roman" w:hAnsi="Times New Roman" w:cs="Times New Roman"/>
          <w:lang w:val="es-AR"/>
        </w:rPr>
        <w:t xml:space="preserve">este último </w:t>
      </w:r>
      <w:r w:rsidR="004A44F9" w:rsidRPr="00B8358C">
        <w:rPr>
          <w:rFonts w:ascii="Times New Roman" w:hAnsi="Times New Roman" w:cs="Times New Roman"/>
          <w:lang w:val="es-AR"/>
        </w:rPr>
        <w:t xml:space="preserve">que </w:t>
      </w:r>
      <w:r w:rsidR="00B8358C" w:rsidRPr="00B8358C">
        <w:rPr>
          <w:rFonts w:ascii="Times New Roman" w:hAnsi="Times New Roman" w:cs="Times New Roman"/>
          <w:lang w:val="es-AR"/>
        </w:rPr>
        <w:t>la</w:t>
      </w:r>
      <w:r w:rsidR="003619BF" w:rsidRPr="00331929">
        <w:rPr>
          <w:rFonts w:ascii="Times New Roman" w:hAnsi="Times New Roman" w:cs="Times New Roman"/>
          <w:lang w:val="es-AR"/>
        </w:rPr>
        <w:t xml:space="preserve"> </w:t>
      </w:r>
      <w:r w:rsidR="004A44F9" w:rsidRPr="00331929">
        <w:rPr>
          <w:rFonts w:ascii="Times New Roman" w:hAnsi="Times New Roman" w:cs="Times New Roman"/>
          <w:lang w:val="es-AR"/>
        </w:rPr>
        <w:t xml:space="preserve">ubica a Salta como </w:t>
      </w:r>
      <w:r w:rsidR="003619BF" w:rsidRPr="00331929">
        <w:rPr>
          <w:rFonts w:ascii="Times New Roman" w:hAnsi="Times New Roman" w:cs="Times New Roman"/>
          <w:lang w:val="es-AR"/>
        </w:rPr>
        <w:t xml:space="preserve">la </w:t>
      </w:r>
      <w:r w:rsidR="004E2566" w:rsidRPr="00331929">
        <w:rPr>
          <w:rFonts w:ascii="Times New Roman" w:hAnsi="Times New Roman" w:cs="Times New Roman"/>
          <w:lang w:val="es-AR"/>
        </w:rPr>
        <w:t xml:space="preserve">principal productora </w:t>
      </w:r>
      <w:r w:rsidR="00D0379A" w:rsidRPr="00331929">
        <w:rPr>
          <w:rFonts w:ascii="Times New Roman" w:hAnsi="Times New Roman" w:cs="Times New Roman"/>
          <w:lang w:val="es-AR"/>
        </w:rPr>
        <w:t>a nivel nacional</w:t>
      </w:r>
      <w:r w:rsidR="00892553" w:rsidRPr="00331929">
        <w:rPr>
          <w:rStyle w:val="Refdenotaalpie"/>
          <w:rFonts w:ascii="Times New Roman" w:hAnsi="Times New Roman" w:cs="Times New Roman"/>
          <w:lang w:val="es-AR"/>
        </w:rPr>
        <w:footnoteReference w:id="3"/>
      </w:r>
      <w:r w:rsidR="00D0379A" w:rsidRPr="00331929">
        <w:rPr>
          <w:rFonts w:ascii="Times New Roman" w:hAnsi="Times New Roman" w:cs="Times New Roman"/>
          <w:lang w:val="es-AR"/>
        </w:rPr>
        <w:t>.</w:t>
      </w:r>
      <w:r w:rsidR="004A44F9" w:rsidRPr="00331929">
        <w:rPr>
          <w:rFonts w:ascii="Times New Roman" w:hAnsi="Times New Roman" w:cs="Times New Roman"/>
          <w:lang w:val="es-AR"/>
        </w:rPr>
        <w:t xml:space="preserve"> </w:t>
      </w:r>
      <w:r w:rsidR="00892553" w:rsidRPr="00331929">
        <w:rPr>
          <w:rFonts w:ascii="Times New Roman" w:hAnsi="Times New Roman" w:cs="Times New Roman"/>
          <w:lang w:val="es-AR"/>
        </w:rPr>
        <w:t xml:space="preserve">En relación </w:t>
      </w:r>
      <w:r w:rsidR="00AC0523">
        <w:rPr>
          <w:rFonts w:ascii="Times New Roman" w:hAnsi="Times New Roman" w:cs="Times New Roman"/>
          <w:lang w:val="es-AR"/>
        </w:rPr>
        <w:t>con</w:t>
      </w:r>
      <w:r w:rsidR="00892553" w:rsidRPr="00331929">
        <w:rPr>
          <w:rFonts w:ascii="Times New Roman" w:hAnsi="Times New Roman" w:cs="Times New Roman"/>
          <w:lang w:val="es-AR"/>
        </w:rPr>
        <w:t xml:space="preserve"> </w:t>
      </w:r>
      <w:r w:rsidR="004A44F9" w:rsidRPr="00331929">
        <w:rPr>
          <w:rFonts w:ascii="Times New Roman" w:hAnsi="Times New Roman" w:cs="Times New Roman"/>
          <w:lang w:val="es-AR"/>
        </w:rPr>
        <w:t>la producción frutícola</w:t>
      </w:r>
      <w:r w:rsidR="00892553" w:rsidRPr="00331929">
        <w:rPr>
          <w:rFonts w:ascii="Times New Roman" w:hAnsi="Times New Roman" w:cs="Times New Roman"/>
          <w:lang w:val="es-AR"/>
        </w:rPr>
        <w:t xml:space="preserve">, </w:t>
      </w:r>
      <w:r w:rsidR="004A44F9" w:rsidRPr="00331929">
        <w:rPr>
          <w:rFonts w:ascii="Times New Roman" w:hAnsi="Times New Roman" w:cs="Times New Roman"/>
          <w:lang w:val="es-AR"/>
        </w:rPr>
        <w:t>se destaca</w:t>
      </w:r>
      <w:r w:rsidR="00D0379A" w:rsidRPr="00331929">
        <w:rPr>
          <w:rFonts w:ascii="Times New Roman" w:hAnsi="Times New Roman" w:cs="Times New Roman"/>
          <w:lang w:val="es-AR"/>
        </w:rPr>
        <w:t>n</w:t>
      </w:r>
      <w:r w:rsidR="004A44F9" w:rsidRPr="00331929">
        <w:rPr>
          <w:rFonts w:ascii="Times New Roman" w:hAnsi="Times New Roman" w:cs="Times New Roman"/>
          <w:lang w:val="es-AR"/>
        </w:rPr>
        <w:t xml:space="preserve"> </w:t>
      </w:r>
      <w:r w:rsidR="00D0379A" w:rsidRPr="00331929">
        <w:rPr>
          <w:rFonts w:ascii="Times New Roman" w:hAnsi="Times New Roman" w:cs="Times New Roman"/>
          <w:lang w:val="es-AR"/>
        </w:rPr>
        <w:t>los</w:t>
      </w:r>
      <w:r w:rsidR="004A44F9" w:rsidRPr="00331929">
        <w:rPr>
          <w:rFonts w:ascii="Times New Roman" w:hAnsi="Times New Roman" w:cs="Times New Roman"/>
          <w:lang w:val="es-AR"/>
        </w:rPr>
        <w:t xml:space="preserve"> </w:t>
      </w:r>
      <w:r w:rsidR="00370284" w:rsidRPr="00331929">
        <w:rPr>
          <w:rFonts w:ascii="Times New Roman" w:hAnsi="Times New Roman" w:cs="Times New Roman"/>
          <w:lang w:val="es-AR"/>
        </w:rPr>
        <w:t>cítricos</w:t>
      </w:r>
      <w:r w:rsidR="00D0379A" w:rsidRPr="00331929">
        <w:rPr>
          <w:rFonts w:ascii="Times New Roman" w:hAnsi="Times New Roman" w:cs="Times New Roman"/>
          <w:lang w:val="es-AR"/>
        </w:rPr>
        <w:t>, principalmente</w:t>
      </w:r>
      <w:r w:rsidR="004E2566" w:rsidRPr="00331929">
        <w:rPr>
          <w:rFonts w:ascii="Times New Roman" w:hAnsi="Times New Roman" w:cs="Times New Roman"/>
          <w:lang w:val="es-AR"/>
        </w:rPr>
        <w:t xml:space="preserve"> naranjas y pomelos</w:t>
      </w:r>
      <w:r w:rsidR="004A44F9" w:rsidRPr="00331929">
        <w:rPr>
          <w:rFonts w:ascii="Times New Roman" w:hAnsi="Times New Roman" w:cs="Times New Roman"/>
          <w:lang w:val="es-AR"/>
        </w:rPr>
        <w:t xml:space="preserve"> </w:t>
      </w:r>
      <w:r w:rsidR="003619BF" w:rsidRPr="00331929">
        <w:rPr>
          <w:rFonts w:ascii="Times New Roman" w:hAnsi="Times New Roman" w:cs="Times New Roman"/>
          <w:lang w:val="es-AR"/>
        </w:rPr>
        <w:t>(</w:t>
      </w:r>
      <w:r w:rsidR="00D865EC" w:rsidRPr="00331929">
        <w:rPr>
          <w:rFonts w:ascii="Times New Roman" w:hAnsi="Times New Roman" w:cs="Times New Roman"/>
          <w:lang w:val="es-AR"/>
        </w:rPr>
        <w:t>Salta lidera</w:t>
      </w:r>
      <w:r w:rsidR="009B0A0A" w:rsidRPr="00331929">
        <w:rPr>
          <w:rFonts w:ascii="Times New Roman" w:hAnsi="Times New Roman" w:cs="Times New Roman"/>
          <w:lang w:val="es-AR"/>
        </w:rPr>
        <w:t xml:space="preserve"> este </w:t>
      </w:r>
      <w:r w:rsidR="00D0379A" w:rsidRPr="00331929">
        <w:rPr>
          <w:rFonts w:ascii="Times New Roman" w:hAnsi="Times New Roman" w:cs="Times New Roman"/>
          <w:lang w:val="es-AR"/>
        </w:rPr>
        <w:t xml:space="preserve">último </w:t>
      </w:r>
      <w:r w:rsidR="009B0A0A" w:rsidRPr="00331929">
        <w:rPr>
          <w:rFonts w:ascii="Times New Roman" w:hAnsi="Times New Roman" w:cs="Times New Roman"/>
          <w:lang w:val="es-AR"/>
        </w:rPr>
        <w:t xml:space="preserve">rubro a nivel </w:t>
      </w:r>
      <w:r w:rsidR="00D865EC" w:rsidRPr="00331929">
        <w:rPr>
          <w:rFonts w:ascii="Times New Roman" w:hAnsi="Times New Roman" w:cs="Times New Roman"/>
          <w:lang w:val="es-AR"/>
        </w:rPr>
        <w:t>nacional</w:t>
      </w:r>
      <w:r w:rsidR="00D865EC" w:rsidRPr="00331929">
        <w:rPr>
          <w:rStyle w:val="Refdenotaalpie"/>
          <w:rFonts w:ascii="Times New Roman" w:hAnsi="Times New Roman" w:cs="Times New Roman"/>
          <w:lang w:val="es-AR"/>
        </w:rPr>
        <w:footnoteReference w:id="4"/>
      </w:r>
      <w:r w:rsidR="009B0A0A" w:rsidRPr="00331929">
        <w:rPr>
          <w:rFonts w:ascii="Times New Roman" w:hAnsi="Times New Roman" w:cs="Times New Roman"/>
          <w:lang w:val="es-AR"/>
        </w:rPr>
        <w:t>)</w:t>
      </w:r>
      <w:r w:rsidR="00ED724A" w:rsidRPr="00331929">
        <w:rPr>
          <w:rFonts w:ascii="Times New Roman" w:hAnsi="Times New Roman" w:cs="Times New Roman"/>
          <w:lang w:val="es-AR"/>
        </w:rPr>
        <w:t>.</w:t>
      </w:r>
      <w:r w:rsidR="00370284" w:rsidRPr="00331929">
        <w:rPr>
          <w:rFonts w:ascii="Times New Roman" w:hAnsi="Times New Roman" w:cs="Times New Roman"/>
          <w:lang w:val="es-AR"/>
        </w:rPr>
        <w:t xml:space="preserve"> </w:t>
      </w:r>
      <w:r w:rsidR="004A44F9" w:rsidRPr="00331929">
        <w:rPr>
          <w:rFonts w:ascii="Times New Roman" w:hAnsi="Times New Roman" w:cs="Times New Roman"/>
          <w:lang w:val="es-AR"/>
        </w:rPr>
        <w:t>A nivel de microrregiones</w:t>
      </w:r>
      <w:r w:rsidR="00D0379A" w:rsidRPr="00331929">
        <w:rPr>
          <w:rFonts w:ascii="Times New Roman" w:hAnsi="Times New Roman" w:cs="Times New Roman"/>
          <w:lang w:val="es-AR"/>
        </w:rPr>
        <w:t>,</w:t>
      </w:r>
      <w:r w:rsidR="00ED724A" w:rsidRPr="00331929">
        <w:rPr>
          <w:rFonts w:ascii="Times New Roman" w:hAnsi="Times New Roman" w:cs="Times New Roman"/>
          <w:lang w:val="es-AR"/>
        </w:rPr>
        <w:t xml:space="preserve"> son importantes </w:t>
      </w:r>
      <w:r w:rsidR="00FA35A4" w:rsidRPr="00331929">
        <w:rPr>
          <w:rFonts w:ascii="Times New Roman" w:hAnsi="Times New Roman" w:cs="Times New Roman"/>
          <w:lang w:val="es-AR"/>
        </w:rPr>
        <w:t xml:space="preserve">las hortalizas, </w:t>
      </w:r>
      <w:r w:rsidR="00D0379A" w:rsidRPr="00331929">
        <w:rPr>
          <w:rFonts w:ascii="Times New Roman" w:hAnsi="Times New Roman" w:cs="Times New Roman"/>
          <w:lang w:val="es-AR"/>
        </w:rPr>
        <w:t xml:space="preserve">la </w:t>
      </w:r>
      <w:r w:rsidR="00FA35A4" w:rsidRPr="00331929">
        <w:rPr>
          <w:rFonts w:ascii="Times New Roman" w:hAnsi="Times New Roman" w:cs="Times New Roman"/>
          <w:lang w:val="es-AR"/>
        </w:rPr>
        <w:t>ganadería</w:t>
      </w:r>
      <w:r w:rsidR="00370284" w:rsidRPr="00331929">
        <w:rPr>
          <w:rFonts w:ascii="Times New Roman" w:hAnsi="Times New Roman" w:cs="Times New Roman"/>
          <w:lang w:val="es-AR"/>
        </w:rPr>
        <w:t xml:space="preserve"> </w:t>
      </w:r>
      <w:r w:rsidR="00FA35A4" w:rsidRPr="00331929">
        <w:rPr>
          <w:rFonts w:ascii="Times New Roman" w:hAnsi="Times New Roman" w:cs="Times New Roman"/>
          <w:lang w:val="es-AR"/>
        </w:rPr>
        <w:t>(principalmente</w:t>
      </w:r>
      <w:r w:rsidR="00370284" w:rsidRPr="00331929">
        <w:rPr>
          <w:rFonts w:ascii="Times New Roman" w:hAnsi="Times New Roman" w:cs="Times New Roman"/>
          <w:lang w:val="es-AR"/>
        </w:rPr>
        <w:t xml:space="preserve"> bovina</w:t>
      </w:r>
      <w:r w:rsidR="0072400F" w:rsidRPr="00331929">
        <w:rPr>
          <w:rFonts w:ascii="Times New Roman" w:hAnsi="Times New Roman" w:cs="Times New Roman"/>
          <w:lang w:val="es-AR"/>
        </w:rPr>
        <w:t xml:space="preserve"> y </w:t>
      </w:r>
      <w:r w:rsidR="00FA35A4" w:rsidRPr="00331929">
        <w:rPr>
          <w:rFonts w:ascii="Times New Roman" w:hAnsi="Times New Roman" w:cs="Times New Roman"/>
          <w:lang w:val="es-AR"/>
        </w:rPr>
        <w:t>caprina)</w:t>
      </w:r>
      <w:r w:rsidR="009B0A0A" w:rsidRPr="00331929">
        <w:rPr>
          <w:rFonts w:ascii="Times New Roman" w:hAnsi="Times New Roman" w:cs="Times New Roman"/>
          <w:lang w:val="es-AR"/>
        </w:rPr>
        <w:t>,</w:t>
      </w:r>
      <w:r w:rsidR="00FA35A4" w:rsidRPr="00331929">
        <w:rPr>
          <w:rFonts w:ascii="Times New Roman" w:hAnsi="Times New Roman" w:cs="Times New Roman"/>
          <w:lang w:val="es-AR"/>
        </w:rPr>
        <w:t xml:space="preserve"> </w:t>
      </w:r>
      <w:r w:rsidR="00D0379A" w:rsidRPr="00331929">
        <w:rPr>
          <w:rFonts w:ascii="Times New Roman" w:hAnsi="Times New Roman" w:cs="Times New Roman"/>
          <w:lang w:val="es-AR"/>
        </w:rPr>
        <w:t xml:space="preserve">la </w:t>
      </w:r>
      <w:r w:rsidR="00FA35A4" w:rsidRPr="00331929">
        <w:rPr>
          <w:rFonts w:ascii="Times New Roman" w:hAnsi="Times New Roman" w:cs="Times New Roman"/>
          <w:lang w:val="es-AR"/>
        </w:rPr>
        <w:t>vid</w:t>
      </w:r>
      <w:r w:rsidR="00370284" w:rsidRPr="00331929">
        <w:rPr>
          <w:rFonts w:ascii="Times New Roman" w:hAnsi="Times New Roman" w:cs="Times New Roman"/>
          <w:lang w:val="es-AR"/>
        </w:rPr>
        <w:t xml:space="preserve"> </w:t>
      </w:r>
      <w:r w:rsidR="00FA35A4" w:rsidRPr="00331929">
        <w:rPr>
          <w:rFonts w:ascii="Times New Roman" w:hAnsi="Times New Roman" w:cs="Times New Roman"/>
          <w:lang w:val="es-AR"/>
        </w:rPr>
        <w:t xml:space="preserve">y </w:t>
      </w:r>
      <w:r w:rsidR="00D0379A" w:rsidRPr="00331929">
        <w:rPr>
          <w:rFonts w:ascii="Times New Roman" w:hAnsi="Times New Roman" w:cs="Times New Roman"/>
          <w:lang w:val="es-AR"/>
        </w:rPr>
        <w:t xml:space="preserve">las </w:t>
      </w:r>
      <w:r w:rsidR="00FA35A4" w:rsidRPr="00331929">
        <w:rPr>
          <w:rFonts w:ascii="Times New Roman" w:hAnsi="Times New Roman" w:cs="Times New Roman"/>
          <w:lang w:val="es-AR"/>
        </w:rPr>
        <w:t>especias</w:t>
      </w:r>
      <w:r w:rsidR="00B8358C">
        <w:rPr>
          <w:rFonts w:ascii="Times New Roman" w:hAnsi="Times New Roman" w:cs="Times New Roman"/>
          <w:lang w:val="es-AR"/>
        </w:rPr>
        <w:t>, destacándose la producción de</w:t>
      </w:r>
      <w:r w:rsidR="00D0379A" w:rsidRPr="00331929">
        <w:rPr>
          <w:rFonts w:ascii="Times New Roman" w:hAnsi="Times New Roman" w:cs="Times New Roman"/>
          <w:lang w:val="es-AR"/>
        </w:rPr>
        <w:t xml:space="preserve"> </w:t>
      </w:r>
      <w:r w:rsidR="00370284" w:rsidRPr="00331929">
        <w:rPr>
          <w:rFonts w:ascii="Times New Roman" w:hAnsi="Times New Roman" w:cs="Times New Roman"/>
          <w:lang w:val="es-AR"/>
        </w:rPr>
        <w:t>pimiento para pimentón.</w:t>
      </w:r>
    </w:p>
    <w:p w14:paraId="1A4C4EF1" w14:textId="77777777" w:rsidR="00753CD5" w:rsidRPr="00331929" w:rsidRDefault="00753CD5" w:rsidP="00AC03A4">
      <w:pPr>
        <w:spacing w:after="0"/>
        <w:ind w:firstLine="540"/>
        <w:jc w:val="both"/>
        <w:rPr>
          <w:rFonts w:ascii="Times New Roman" w:hAnsi="Times New Roman" w:cs="Times New Roman"/>
          <w:lang w:val="es-AR"/>
        </w:rPr>
      </w:pPr>
      <w:r w:rsidRPr="00331929">
        <w:rPr>
          <w:rFonts w:ascii="Times New Roman" w:hAnsi="Times New Roman" w:cs="Times New Roman"/>
          <w:lang w:val="es-AR"/>
        </w:rPr>
        <w:lastRenderedPageBreak/>
        <w:t>Asimismo, la estructura social y económica</w:t>
      </w:r>
      <w:r w:rsidR="00D0379A" w:rsidRPr="00331929">
        <w:rPr>
          <w:rFonts w:ascii="Times New Roman" w:hAnsi="Times New Roman" w:cs="Times New Roman"/>
          <w:lang w:val="es-AR"/>
        </w:rPr>
        <w:t xml:space="preserve"> provincial</w:t>
      </w:r>
      <w:r w:rsidRPr="00331929">
        <w:rPr>
          <w:rFonts w:ascii="Times New Roman" w:hAnsi="Times New Roman" w:cs="Times New Roman"/>
          <w:lang w:val="es-AR"/>
        </w:rPr>
        <w:t xml:space="preserve">, está afectada por la alta concentración de su población en escasos núcleos urbanos, restando enormes fracciones territoriales con una escasa o nula presencia humana, </w:t>
      </w:r>
      <w:r w:rsidR="00D0379A" w:rsidRPr="00331929">
        <w:rPr>
          <w:rFonts w:ascii="Times New Roman" w:hAnsi="Times New Roman" w:cs="Times New Roman"/>
          <w:lang w:val="es-AR"/>
        </w:rPr>
        <w:t xml:space="preserve">así como de </w:t>
      </w:r>
      <w:r w:rsidRPr="00331929">
        <w:rPr>
          <w:rFonts w:ascii="Times New Roman" w:hAnsi="Times New Roman" w:cs="Times New Roman"/>
          <w:lang w:val="es-AR"/>
        </w:rPr>
        <w:t>servicios públicos e infraestructura social básica, lo que redunda en una estructura demográfica que brinda muy escasas posibilidades de subsistencia a la población rural. Entre un 60 y 65% de la población provincial, se concentra en los principales núcleos urbanos que inte</w:t>
      </w:r>
      <w:r w:rsidR="009B0A0A" w:rsidRPr="00331929">
        <w:rPr>
          <w:rFonts w:ascii="Times New Roman" w:hAnsi="Times New Roman" w:cs="Times New Roman"/>
          <w:lang w:val="es-AR"/>
        </w:rPr>
        <w:t>gran el Valle de Lerma, existiendo</w:t>
      </w:r>
      <w:r w:rsidRPr="00331929">
        <w:rPr>
          <w:rFonts w:ascii="Times New Roman" w:hAnsi="Times New Roman" w:cs="Times New Roman"/>
          <w:lang w:val="es-AR"/>
        </w:rPr>
        <w:t xml:space="preserve"> </w:t>
      </w:r>
      <w:r w:rsidR="009B0A0A" w:rsidRPr="00331929">
        <w:rPr>
          <w:rFonts w:ascii="Times New Roman" w:hAnsi="Times New Roman" w:cs="Times New Roman"/>
          <w:lang w:val="es-AR"/>
        </w:rPr>
        <w:t xml:space="preserve">enormes </w:t>
      </w:r>
      <w:r w:rsidRPr="00331929">
        <w:rPr>
          <w:rFonts w:ascii="Times New Roman" w:hAnsi="Times New Roman" w:cs="Times New Roman"/>
          <w:lang w:val="es-AR"/>
        </w:rPr>
        <w:t>territorios con una densidad poblacional inferior a los 0,6 hab/km</w:t>
      </w:r>
      <w:r w:rsidRPr="00331929">
        <w:rPr>
          <w:rFonts w:ascii="Times New Roman" w:hAnsi="Times New Roman" w:cs="Times New Roman"/>
          <w:vertAlign w:val="superscript"/>
          <w:lang w:val="es-AR"/>
        </w:rPr>
        <w:t>2</w:t>
      </w:r>
      <w:r w:rsidRPr="00331929">
        <w:rPr>
          <w:rFonts w:ascii="Times New Roman" w:hAnsi="Times New Roman" w:cs="Times New Roman"/>
          <w:lang w:val="es-AR"/>
        </w:rPr>
        <w:t>.</w:t>
      </w:r>
    </w:p>
    <w:p w14:paraId="7C7D4179" w14:textId="09EDD2B9" w:rsidR="00D47A4C" w:rsidRPr="00331929" w:rsidRDefault="00F627D8" w:rsidP="00AC03A4">
      <w:pPr>
        <w:ind w:firstLine="540"/>
        <w:jc w:val="both"/>
        <w:rPr>
          <w:rFonts w:ascii="Times New Roman" w:hAnsi="Times New Roman" w:cs="Times New Roman"/>
          <w:lang w:val="es-AR"/>
        </w:rPr>
      </w:pPr>
      <w:r w:rsidRPr="00331929">
        <w:rPr>
          <w:rFonts w:ascii="Times New Roman" w:hAnsi="Times New Roman" w:cs="Times New Roman"/>
          <w:lang w:val="es-AR"/>
        </w:rPr>
        <w:t>E</w:t>
      </w:r>
      <w:r w:rsidR="009A6850" w:rsidRPr="00331929">
        <w:rPr>
          <w:rFonts w:ascii="Times New Roman" w:hAnsi="Times New Roman" w:cs="Times New Roman"/>
          <w:lang w:val="es-AR"/>
        </w:rPr>
        <w:t xml:space="preserve">l análisis de algunos datos preliminares del Censo </w:t>
      </w:r>
      <w:r w:rsidR="00B8358C">
        <w:rPr>
          <w:rFonts w:ascii="Times New Roman" w:hAnsi="Times New Roman" w:cs="Times New Roman"/>
          <w:lang w:val="es-AR"/>
        </w:rPr>
        <w:t xml:space="preserve">Nacional </w:t>
      </w:r>
      <w:r w:rsidR="009A6850" w:rsidRPr="00331929">
        <w:rPr>
          <w:rFonts w:ascii="Times New Roman" w:hAnsi="Times New Roman" w:cs="Times New Roman"/>
          <w:lang w:val="es-AR"/>
        </w:rPr>
        <w:t>Agropecuario 2018 y su comparación</w:t>
      </w:r>
      <w:r w:rsidR="009B0A0A" w:rsidRPr="00331929">
        <w:rPr>
          <w:rFonts w:ascii="Times New Roman" w:hAnsi="Times New Roman" w:cs="Times New Roman"/>
          <w:lang w:val="es-AR"/>
        </w:rPr>
        <w:t xml:space="preserve"> con el Censo 2002, nos aporta</w:t>
      </w:r>
      <w:r w:rsidR="009A6850" w:rsidRPr="00331929">
        <w:rPr>
          <w:rFonts w:ascii="Times New Roman" w:hAnsi="Times New Roman" w:cs="Times New Roman"/>
          <w:lang w:val="es-AR"/>
        </w:rPr>
        <w:t xml:space="preserve"> algunos elementos para un conocimiento actualizado de las principales variables</w:t>
      </w:r>
      <w:r w:rsidR="002B7019" w:rsidRPr="00331929">
        <w:rPr>
          <w:rFonts w:ascii="Times New Roman" w:hAnsi="Times New Roman" w:cs="Times New Roman"/>
          <w:lang w:val="es-AR"/>
        </w:rPr>
        <w:t xml:space="preserve"> </w:t>
      </w:r>
      <w:r w:rsidR="009B0A0A" w:rsidRPr="00331929">
        <w:rPr>
          <w:rFonts w:ascii="Times New Roman" w:hAnsi="Times New Roman" w:cs="Times New Roman"/>
          <w:lang w:val="es-AR"/>
        </w:rPr>
        <w:t xml:space="preserve">que </w:t>
      </w:r>
      <w:r w:rsidR="002B7019" w:rsidRPr="00331929">
        <w:rPr>
          <w:rFonts w:ascii="Times New Roman" w:hAnsi="Times New Roman" w:cs="Times New Roman"/>
          <w:lang w:val="es-AR"/>
        </w:rPr>
        <w:t>caracteriza</w:t>
      </w:r>
      <w:r w:rsidR="009B0A0A" w:rsidRPr="00331929">
        <w:rPr>
          <w:rFonts w:ascii="Times New Roman" w:hAnsi="Times New Roman" w:cs="Times New Roman"/>
          <w:lang w:val="es-AR"/>
        </w:rPr>
        <w:t>n</w:t>
      </w:r>
      <w:r w:rsidR="002B7019" w:rsidRPr="00331929">
        <w:rPr>
          <w:rFonts w:ascii="Times New Roman" w:hAnsi="Times New Roman" w:cs="Times New Roman"/>
          <w:lang w:val="es-AR"/>
        </w:rPr>
        <w:t xml:space="preserve"> la estructura agraria de la provincia</w:t>
      </w:r>
      <w:r w:rsidR="009A6850" w:rsidRPr="00331929">
        <w:rPr>
          <w:rFonts w:ascii="Times New Roman" w:hAnsi="Times New Roman" w:cs="Times New Roman"/>
          <w:lang w:val="es-AR"/>
        </w:rPr>
        <w:t xml:space="preserve">, </w:t>
      </w:r>
      <w:r w:rsidR="000A156D" w:rsidRPr="00331929">
        <w:rPr>
          <w:rFonts w:ascii="Times New Roman" w:hAnsi="Times New Roman" w:cs="Times New Roman"/>
          <w:lang w:val="es-AR"/>
        </w:rPr>
        <w:t>sin embargo</w:t>
      </w:r>
      <w:r w:rsidR="00D0379A" w:rsidRPr="00331929">
        <w:rPr>
          <w:rFonts w:ascii="Times New Roman" w:hAnsi="Times New Roman" w:cs="Times New Roman"/>
          <w:lang w:val="es-AR"/>
        </w:rPr>
        <w:t>,</w:t>
      </w:r>
      <w:r w:rsidR="000A156D" w:rsidRPr="00331929">
        <w:rPr>
          <w:rFonts w:ascii="Times New Roman" w:hAnsi="Times New Roman" w:cs="Times New Roman"/>
          <w:lang w:val="es-AR"/>
        </w:rPr>
        <w:t xml:space="preserve"> antes de formular algunas </w:t>
      </w:r>
      <w:r w:rsidR="005B262E" w:rsidRPr="00331929">
        <w:rPr>
          <w:rFonts w:ascii="Times New Roman" w:hAnsi="Times New Roman" w:cs="Times New Roman"/>
          <w:lang w:val="es-AR"/>
        </w:rPr>
        <w:t xml:space="preserve">conclusiones </w:t>
      </w:r>
      <w:r w:rsidR="000A156D" w:rsidRPr="00331929">
        <w:rPr>
          <w:rFonts w:ascii="Times New Roman" w:hAnsi="Times New Roman" w:cs="Times New Roman"/>
          <w:lang w:val="es-AR"/>
        </w:rPr>
        <w:t>se hace necesario contra</w:t>
      </w:r>
      <w:r w:rsidR="00E82407" w:rsidRPr="00331929">
        <w:rPr>
          <w:rFonts w:ascii="Times New Roman" w:hAnsi="Times New Roman" w:cs="Times New Roman"/>
          <w:lang w:val="es-AR"/>
        </w:rPr>
        <w:t>star la información con otras fuentes.</w:t>
      </w:r>
      <w:r w:rsidR="009B0A0A" w:rsidRPr="00331929">
        <w:rPr>
          <w:rFonts w:ascii="Times New Roman" w:hAnsi="Times New Roman" w:cs="Times New Roman"/>
          <w:lang w:val="es-AR"/>
        </w:rPr>
        <w:t xml:space="preserve"> </w:t>
      </w:r>
      <w:r w:rsidR="002B7019" w:rsidRPr="00331929">
        <w:rPr>
          <w:rFonts w:ascii="Times New Roman" w:hAnsi="Times New Roman" w:cs="Times New Roman"/>
          <w:lang w:val="es-AR"/>
        </w:rPr>
        <w:t>A este respecto, cabe anticipar que</w:t>
      </w:r>
      <w:r w:rsidR="00AC0523">
        <w:rPr>
          <w:rFonts w:ascii="Times New Roman" w:hAnsi="Times New Roman" w:cs="Times New Roman"/>
          <w:lang w:val="es-AR"/>
        </w:rPr>
        <w:t>,</w:t>
      </w:r>
      <w:r w:rsidR="002B7019" w:rsidRPr="00331929">
        <w:rPr>
          <w:rFonts w:ascii="Times New Roman" w:hAnsi="Times New Roman" w:cs="Times New Roman"/>
          <w:lang w:val="es-AR"/>
        </w:rPr>
        <w:t xml:space="preserve"> a medida que vayamos examinando los distintos cuadros de resultados</w:t>
      </w:r>
      <w:r w:rsidR="009B0A0A" w:rsidRPr="00331929">
        <w:rPr>
          <w:rFonts w:ascii="Times New Roman" w:hAnsi="Times New Roman" w:cs="Times New Roman"/>
          <w:lang w:val="es-AR"/>
        </w:rPr>
        <w:t>,</w:t>
      </w:r>
      <w:r w:rsidR="002B7019" w:rsidRPr="00331929">
        <w:rPr>
          <w:rFonts w:ascii="Times New Roman" w:hAnsi="Times New Roman" w:cs="Times New Roman"/>
          <w:lang w:val="es-AR"/>
        </w:rPr>
        <w:t xml:space="preserve"> reconoc</w:t>
      </w:r>
      <w:r w:rsidR="00931B88" w:rsidRPr="00331929">
        <w:rPr>
          <w:rFonts w:ascii="Times New Roman" w:hAnsi="Times New Roman" w:cs="Times New Roman"/>
          <w:lang w:val="es-AR"/>
        </w:rPr>
        <w:t>eremos</w:t>
      </w:r>
      <w:r w:rsidR="002B7019" w:rsidRPr="00331929">
        <w:rPr>
          <w:rFonts w:ascii="Times New Roman" w:hAnsi="Times New Roman" w:cs="Times New Roman"/>
          <w:lang w:val="es-AR"/>
        </w:rPr>
        <w:t xml:space="preserve"> algún grado de insuficiencia</w:t>
      </w:r>
      <w:r w:rsidR="00D0379A" w:rsidRPr="00331929">
        <w:rPr>
          <w:rFonts w:ascii="Times New Roman" w:hAnsi="Times New Roman" w:cs="Times New Roman"/>
          <w:lang w:val="es-AR"/>
        </w:rPr>
        <w:t xml:space="preserve"> en</w:t>
      </w:r>
      <w:r w:rsidR="00931B88" w:rsidRPr="00331929">
        <w:rPr>
          <w:rFonts w:ascii="Times New Roman" w:hAnsi="Times New Roman" w:cs="Times New Roman"/>
          <w:lang w:val="es-AR"/>
        </w:rPr>
        <w:t xml:space="preserve"> los registros censales</w:t>
      </w:r>
      <w:r w:rsidR="009B0A0A" w:rsidRPr="00331929">
        <w:rPr>
          <w:rFonts w:ascii="Times New Roman" w:hAnsi="Times New Roman" w:cs="Times New Roman"/>
          <w:lang w:val="es-AR"/>
        </w:rPr>
        <w:t xml:space="preserve"> disponibles</w:t>
      </w:r>
      <w:r w:rsidR="00931B88" w:rsidRPr="00331929">
        <w:rPr>
          <w:rFonts w:ascii="Times New Roman" w:hAnsi="Times New Roman" w:cs="Times New Roman"/>
          <w:lang w:val="es-AR"/>
        </w:rPr>
        <w:t xml:space="preserve">. </w:t>
      </w:r>
      <w:r w:rsidR="00612B49" w:rsidRPr="00331929">
        <w:rPr>
          <w:rFonts w:ascii="Times New Roman" w:hAnsi="Times New Roman" w:cs="Times New Roman"/>
          <w:lang w:val="es-AR"/>
        </w:rPr>
        <w:t>Probablement</w:t>
      </w:r>
      <w:r w:rsidR="009750E5" w:rsidRPr="00331929">
        <w:rPr>
          <w:rFonts w:ascii="Times New Roman" w:hAnsi="Times New Roman" w:cs="Times New Roman"/>
          <w:lang w:val="es-AR"/>
        </w:rPr>
        <w:t xml:space="preserve">e algunas de las incongruencias </w:t>
      </w:r>
      <w:r w:rsidR="00612B49" w:rsidRPr="00331929">
        <w:rPr>
          <w:rFonts w:ascii="Times New Roman" w:hAnsi="Times New Roman" w:cs="Times New Roman"/>
          <w:lang w:val="es-AR"/>
        </w:rPr>
        <w:t xml:space="preserve">que se constatan respecto al año 2002 puedan ser </w:t>
      </w:r>
      <w:r w:rsidR="00D0379A" w:rsidRPr="00331929">
        <w:rPr>
          <w:rFonts w:ascii="Times New Roman" w:hAnsi="Times New Roman" w:cs="Times New Roman"/>
          <w:lang w:val="es-AR"/>
        </w:rPr>
        <w:t>reconsiderada</w:t>
      </w:r>
      <w:r w:rsidR="00FA35A4" w:rsidRPr="00331929">
        <w:rPr>
          <w:rFonts w:ascii="Times New Roman" w:hAnsi="Times New Roman" w:cs="Times New Roman"/>
          <w:lang w:val="es-AR"/>
        </w:rPr>
        <w:t>s cuando</w:t>
      </w:r>
      <w:r w:rsidR="00612B49" w:rsidRPr="00331929">
        <w:rPr>
          <w:rFonts w:ascii="Times New Roman" w:hAnsi="Times New Roman" w:cs="Times New Roman"/>
          <w:lang w:val="es-AR"/>
        </w:rPr>
        <w:t xml:space="preserve"> se difundan </w:t>
      </w:r>
      <w:r w:rsidR="00931B88" w:rsidRPr="00331929">
        <w:rPr>
          <w:rFonts w:ascii="Times New Roman" w:hAnsi="Times New Roman" w:cs="Times New Roman"/>
          <w:lang w:val="es-AR"/>
        </w:rPr>
        <w:t xml:space="preserve">los resultados completos del CNA 2018, sin perjuicio de la necesidad de recurrir a la consulta </w:t>
      </w:r>
      <w:r w:rsidR="00D0379A" w:rsidRPr="00331929">
        <w:rPr>
          <w:rFonts w:ascii="Times New Roman" w:hAnsi="Times New Roman" w:cs="Times New Roman"/>
          <w:lang w:val="es-AR"/>
        </w:rPr>
        <w:t xml:space="preserve">de </w:t>
      </w:r>
      <w:r w:rsidR="00931B88" w:rsidRPr="00331929">
        <w:rPr>
          <w:rFonts w:ascii="Times New Roman" w:hAnsi="Times New Roman" w:cs="Times New Roman"/>
          <w:lang w:val="es-AR"/>
        </w:rPr>
        <w:t>los respectivos coordinador</w:t>
      </w:r>
      <w:r w:rsidR="009750E5" w:rsidRPr="00331929">
        <w:rPr>
          <w:rFonts w:ascii="Times New Roman" w:hAnsi="Times New Roman" w:cs="Times New Roman"/>
          <w:lang w:val="es-AR"/>
        </w:rPr>
        <w:t>es provinciales y jefes de zona</w:t>
      </w:r>
      <w:r w:rsidR="00931B88" w:rsidRPr="00331929">
        <w:rPr>
          <w:rFonts w:ascii="Times New Roman" w:hAnsi="Times New Roman" w:cs="Times New Roman"/>
          <w:lang w:val="es-AR"/>
        </w:rPr>
        <w:t xml:space="preserve"> </w:t>
      </w:r>
      <w:r w:rsidR="009B0A0A" w:rsidRPr="00331929">
        <w:rPr>
          <w:rFonts w:ascii="Times New Roman" w:hAnsi="Times New Roman" w:cs="Times New Roman"/>
          <w:lang w:val="es-AR"/>
        </w:rPr>
        <w:t>que intervinieron en el trabajo estadístico en</w:t>
      </w:r>
      <w:r w:rsidR="00931B88" w:rsidRPr="00331929">
        <w:rPr>
          <w:rFonts w:ascii="Times New Roman" w:hAnsi="Times New Roman" w:cs="Times New Roman"/>
          <w:lang w:val="es-AR"/>
        </w:rPr>
        <w:t xml:space="preserve"> terreno.</w:t>
      </w:r>
    </w:p>
    <w:p w14:paraId="6C45BB8F" w14:textId="4C8B8425" w:rsidR="00D47A4C" w:rsidRPr="00331929" w:rsidRDefault="00607131" w:rsidP="006803AD">
      <w:pPr>
        <w:jc w:val="center"/>
        <w:rPr>
          <w:rFonts w:ascii="Times New Roman" w:hAnsi="Times New Roman" w:cs="Times New Roman"/>
          <w:b/>
          <w:lang w:val="es-AR"/>
        </w:rPr>
      </w:pPr>
      <w:r w:rsidRPr="00331929">
        <w:rPr>
          <w:rFonts w:ascii="Times New Roman" w:hAnsi="Times New Roman" w:cs="Times New Roman"/>
          <w:b/>
          <w:bCs/>
          <w:lang w:val="es-AR"/>
        </w:rPr>
        <w:t>Cuadro N°1</w:t>
      </w:r>
      <w:r w:rsidR="00B06497">
        <w:rPr>
          <w:rFonts w:ascii="Times New Roman" w:hAnsi="Times New Roman" w:cs="Times New Roman"/>
          <w:b/>
          <w:bCs/>
          <w:lang w:val="es-AR"/>
        </w:rPr>
        <w:t>:</w:t>
      </w:r>
      <w:r w:rsidRPr="00331929">
        <w:rPr>
          <w:rFonts w:ascii="Times New Roman" w:hAnsi="Times New Roman" w:cs="Times New Roman"/>
          <w:b/>
          <w:bCs/>
          <w:lang w:val="es-AR"/>
        </w:rPr>
        <w:t xml:space="preserve"> Explotaciones agropecuarias, terrenos y superficie por tipo de delimitación en Salt</w:t>
      </w:r>
      <w:r w:rsidR="0031270D" w:rsidRPr="00331929">
        <w:rPr>
          <w:rFonts w:ascii="Times New Roman" w:hAnsi="Times New Roman" w:cs="Times New Roman"/>
          <w:b/>
          <w:bCs/>
          <w:lang w:val="es-AR"/>
        </w:rPr>
        <w:t>a</w:t>
      </w:r>
      <w:r w:rsidRPr="00331929">
        <w:rPr>
          <w:rFonts w:ascii="Times New Roman" w:hAnsi="Times New Roman" w:cs="Times New Roman"/>
          <w:b/>
          <w:bCs/>
          <w:lang w:val="es-AR"/>
        </w:rPr>
        <w:t>, en unidades y hectáreas</w:t>
      </w:r>
      <w:r w:rsidR="009750E5" w:rsidRPr="00331929">
        <w:rPr>
          <w:rFonts w:ascii="Times New Roman" w:hAnsi="Times New Roman" w:cs="Times New Roman"/>
          <w:b/>
          <w:bCs/>
          <w:lang w:val="es-AR"/>
        </w:rPr>
        <w:t>.</w:t>
      </w:r>
    </w:p>
    <w:tbl>
      <w:tblPr>
        <w:tblStyle w:val="Listamedia2-nfasis1"/>
        <w:tblW w:w="52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1482"/>
        <w:gridCol w:w="972"/>
        <w:gridCol w:w="1398"/>
        <w:gridCol w:w="977"/>
        <w:gridCol w:w="1357"/>
        <w:gridCol w:w="756"/>
      </w:tblGrid>
      <w:tr w:rsidR="00A83C8A" w:rsidRPr="00331929" w14:paraId="002CEBFF" w14:textId="77777777" w:rsidTr="006803AD">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185" w:type="pct"/>
            <w:tcBorders>
              <w:top w:val="none" w:sz="0" w:space="0" w:color="auto"/>
              <w:left w:val="none" w:sz="0" w:space="0" w:color="auto"/>
              <w:bottom w:val="none" w:sz="0" w:space="0" w:color="auto"/>
              <w:right w:val="none" w:sz="0" w:space="0" w:color="auto"/>
            </w:tcBorders>
            <w:noWrap/>
          </w:tcPr>
          <w:p w14:paraId="4A395FD9" w14:textId="77777777" w:rsidR="00216D79" w:rsidRPr="00331929" w:rsidRDefault="00216D79" w:rsidP="00B8358C">
            <w:pPr>
              <w:jc w:val="center"/>
              <w:rPr>
                <w:rFonts w:ascii="Times New Roman" w:eastAsiaTheme="minorEastAsia" w:hAnsi="Times New Roman" w:cs="Times New Roman"/>
                <w:b/>
                <w:color w:val="auto"/>
                <w:sz w:val="18"/>
                <w:szCs w:val="18"/>
                <w:lang w:val="es-AR"/>
              </w:rPr>
            </w:pPr>
          </w:p>
        </w:tc>
        <w:tc>
          <w:tcPr>
            <w:tcW w:w="815" w:type="pct"/>
            <w:tcBorders>
              <w:top w:val="none" w:sz="0" w:space="0" w:color="auto"/>
              <w:left w:val="none" w:sz="0" w:space="0" w:color="auto"/>
              <w:bottom w:val="none" w:sz="0" w:space="0" w:color="auto"/>
              <w:right w:val="none" w:sz="0" w:space="0" w:color="auto"/>
            </w:tcBorders>
          </w:tcPr>
          <w:p w14:paraId="161EEE43" w14:textId="77777777" w:rsidR="00216D79" w:rsidRPr="00331929" w:rsidRDefault="00216D79" w:rsidP="00B8358C">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18"/>
                <w:szCs w:val="18"/>
              </w:rPr>
            </w:pPr>
            <w:r w:rsidRPr="00331929">
              <w:rPr>
                <w:rFonts w:ascii="Times New Roman" w:eastAsiaTheme="minorEastAsia" w:hAnsi="Times New Roman" w:cs="Times New Roman"/>
                <w:b/>
                <w:color w:val="auto"/>
                <w:sz w:val="18"/>
                <w:szCs w:val="18"/>
                <w:lang w:val="es-ES"/>
              </w:rPr>
              <w:t>CNA 02</w:t>
            </w:r>
          </w:p>
        </w:tc>
        <w:tc>
          <w:tcPr>
            <w:tcW w:w="538" w:type="pct"/>
            <w:tcBorders>
              <w:top w:val="none" w:sz="0" w:space="0" w:color="auto"/>
              <w:left w:val="none" w:sz="0" w:space="0" w:color="auto"/>
              <w:bottom w:val="none" w:sz="0" w:space="0" w:color="auto"/>
              <w:right w:val="none" w:sz="0" w:space="0" w:color="auto"/>
            </w:tcBorders>
          </w:tcPr>
          <w:p w14:paraId="3BA73F6E" w14:textId="77777777" w:rsidR="00216D79" w:rsidRPr="00331929" w:rsidRDefault="00216D79" w:rsidP="00B8358C">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18"/>
                <w:szCs w:val="18"/>
                <w:lang w:val="es-ES"/>
              </w:rPr>
            </w:pPr>
            <w:r w:rsidRPr="00331929">
              <w:rPr>
                <w:rFonts w:ascii="Times New Roman" w:eastAsiaTheme="minorEastAsia" w:hAnsi="Times New Roman" w:cs="Times New Roman"/>
                <w:b/>
                <w:color w:val="auto"/>
                <w:sz w:val="18"/>
                <w:szCs w:val="18"/>
                <w:lang w:val="es-ES"/>
              </w:rPr>
              <w:t>%</w:t>
            </w:r>
          </w:p>
        </w:tc>
        <w:tc>
          <w:tcPr>
            <w:tcW w:w="769" w:type="pct"/>
            <w:tcBorders>
              <w:top w:val="none" w:sz="0" w:space="0" w:color="auto"/>
              <w:left w:val="none" w:sz="0" w:space="0" w:color="auto"/>
              <w:bottom w:val="none" w:sz="0" w:space="0" w:color="auto"/>
              <w:right w:val="none" w:sz="0" w:space="0" w:color="auto"/>
            </w:tcBorders>
          </w:tcPr>
          <w:p w14:paraId="1A39368E" w14:textId="77777777" w:rsidR="00216D79" w:rsidRPr="00331929" w:rsidRDefault="00216D79" w:rsidP="00B8358C">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18"/>
                <w:szCs w:val="18"/>
              </w:rPr>
            </w:pPr>
            <w:r w:rsidRPr="00331929">
              <w:rPr>
                <w:rFonts w:ascii="Times New Roman" w:eastAsiaTheme="minorEastAsia" w:hAnsi="Times New Roman" w:cs="Times New Roman"/>
                <w:b/>
                <w:color w:val="auto"/>
                <w:sz w:val="18"/>
                <w:szCs w:val="18"/>
                <w:lang w:val="es-ES"/>
              </w:rPr>
              <w:t>CNA 18</w:t>
            </w:r>
          </w:p>
        </w:tc>
        <w:tc>
          <w:tcPr>
            <w:tcW w:w="540" w:type="pct"/>
            <w:tcBorders>
              <w:top w:val="none" w:sz="0" w:space="0" w:color="auto"/>
              <w:left w:val="none" w:sz="0" w:space="0" w:color="auto"/>
              <w:bottom w:val="none" w:sz="0" w:space="0" w:color="auto"/>
              <w:right w:val="none" w:sz="0" w:space="0" w:color="auto"/>
            </w:tcBorders>
          </w:tcPr>
          <w:p w14:paraId="1FEEA607" w14:textId="77777777" w:rsidR="00216D79" w:rsidRPr="00331929" w:rsidRDefault="00216D79" w:rsidP="00B8358C">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18"/>
                <w:szCs w:val="18"/>
                <w:lang w:val="es-ES"/>
              </w:rPr>
            </w:pPr>
            <w:r w:rsidRPr="00331929">
              <w:rPr>
                <w:rFonts w:ascii="Times New Roman" w:eastAsiaTheme="minorEastAsia" w:hAnsi="Times New Roman" w:cs="Times New Roman"/>
                <w:b/>
                <w:color w:val="auto"/>
                <w:sz w:val="18"/>
                <w:szCs w:val="18"/>
                <w:lang w:val="es-ES"/>
              </w:rPr>
              <w:t>%</w:t>
            </w:r>
          </w:p>
        </w:tc>
        <w:tc>
          <w:tcPr>
            <w:tcW w:w="733" w:type="pct"/>
            <w:tcBorders>
              <w:top w:val="none" w:sz="0" w:space="0" w:color="auto"/>
              <w:left w:val="none" w:sz="0" w:space="0" w:color="auto"/>
              <w:bottom w:val="none" w:sz="0" w:space="0" w:color="auto"/>
              <w:right w:val="none" w:sz="0" w:space="0" w:color="auto"/>
            </w:tcBorders>
          </w:tcPr>
          <w:p w14:paraId="2164161D" w14:textId="77777777" w:rsidR="00216D79" w:rsidRPr="00331929" w:rsidRDefault="00216D79" w:rsidP="00B8358C">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18"/>
                <w:szCs w:val="18"/>
              </w:rPr>
            </w:pPr>
            <w:r w:rsidRPr="00331929">
              <w:rPr>
                <w:rFonts w:ascii="Times New Roman" w:eastAsiaTheme="minorEastAsia" w:hAnsi="Times New Roman" w:cs="Times New Roman"/>
                <w:b/>
                <w:color w:val="auto"/>
                <w:sz w:val="18"/>
                <w:szCs w:val="18"/>
                <w:lang w:val="es-ES"/>
              </w:rPr>
              <w:t>DIFERENCIA</w:t>
            </w:r>
          </w:p>
        </w:tc>
        <w:tc>
          <w:tcPr>
            <w:tcW w:w="422" w:type="pct"/>
            <w:tcBorders>
              <w:top w:val="none" w:sz="0" w:space="0" w:color="auto"/>
              <w:left w:val="none" w:sz="0" w:space="0" w:color="auto"/>
              <w:bottom w:val="none" w:sz="0" w:space="0" w:color="auto"/>
              <w:right w:val="none" w:sz="0" w:space="0" w:color="auto"/>
            </w:tcBorders>
          </w:tcPr>
          <w:p w14:paraId="17B11986" w14:textId="77777777" w:rsidR="00216D79" w:rsidRPr="00331929" w:rsidRDefault="00216D79" w:rsidP="00B8358C">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18"/>
                <w:szCs w:val="18"/>
                <w:lang w:val="es-ES"/>
              </w:rPr>
            </w:pPr>
            <w:r w:rsidRPr="00331929">
              <w:rPr>
                <w:rFonts w:ascii="Times New Roman" w:eastAsiaTheme="minorEastAsia" w:hAnsi="Times New Roman" w:cs="Times New Roman"/>
                <w:b/>
                <w:color w:val="auto"/>
                <w:sz w:val="18"/>
                <w:szCs w:val="18"/>
                <w:lang w:val="es-ES"/>
              </w:rPr>
              <w:t>%</w:t>
            </w:r>
          </w:p>
        </w:tc>
      </w:tr>
      <w:tr w:rsidR="00331929" w:rsidRPr="00331929" w14:paraId="444F8496" w14:textId="77777777" w:rsidTr="006803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5" w:type="pct"/>
            <w:tcBorders>
              <w:top w:val="none" w:sz="0" w:space="0" w:color="auto"/>
              <w:left w:val="none" w:sz="0" w:space="0" w:color="auto"/>
              <w:bottom w:val="none" w:sz="0" w:space="0" w:color="auto"/>
              <w:right w:val="none" w:sz="0" w:space="0" w:color="auto"/>
            </w:tcBorders>
            <w:shd w:val="clear" w:color="auto" w:fill="DEEAF6" w:themeFill="accent1" w:themeFillTint="33"/>
            <w:noWrap/>
          </w:tcPr>
          <w:p w14:paraId="56663F98" w14:textId="77777777" w:rsidR="00216D79" w:rsidRPr="00331929" w:rsidRDefault="00216D79" w:rsidP="00AC03A4">
            <w:pPr>
              <w:jc w:val="both"/>
              <w:rPr>
                <w:rFonts w:ascii="Times New Roman" w:eastAsiaTheme="minorEastAsia" w:hAnsi="Times New Roman" w:cs="Times New Roman"/>
                <w:b/>
                <w:color w:val="auto"/>
                <w:sz w:val="18"/>
                <w:szCs w:val="18"/>
                <w:lang w:val="es-AR"/>
              </w:rPr>
            </w:pPr>
            <w:r w:rsidRPr="00331929">
              <w:rPr>
                <w:rFonts w:ascii="Times New Roman" w:eastAsiaTheme="minorEastAsia" w:hAnsi="Times New Roman" w:cs="Times New Roman"/>
                <w:b/>
                <w:color w:val="auto"/>
                <w:sz w:val="18"/>
                <w:szCs w:val="18"/>
                <w:lang w:val="es-ES"/>
              </w:rPr>
              <w:t>Total EAPs</w:t>
            </w:r>
          </w:p>
        </w:tc>
        <w:tc>
          <w:tcPr>
            <w:tcW w:w="815" w:type="pct"/>
            <w:tcBorders>
              <w:top w:val="none" w:sz="0" w:space="0" w:color="auto"/>
              <w:left w:val="none" w:sz="0" w:space="0" w:color="auto"/>
              <w:bottom w:val="none" w:sz="0" w:space="0" w:color="auto"/>
              <w:right w:val="none" w:sz="0" w:space="0" w:color="auto"/>
            </w:tcBorders>
            <w:shd w:val="clear" w:color="auto" w:fill="DEEAF6" w:themeFill="accent1" w:themeFillTint="33"/>
          </w:tcPr>
          <w:p w14:paraId="2BA29FA2" w14:textId="536DFDEC" w:rsidR="00216D79" w:rsidRPr="00331929" w:rsidRDefault="00216D79" w:rsidP="00B8358C">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rPr>
            </w:pPr>
            <w:r w:rsidRPr="00331929">
              <w:rPr>
                <w:rFonts w:ascii="Times New Roman" w:eastAsiaTheme="minorEastAsia" w:hAnsi="Times New Roman" w:cs="Times New Roman"/>
                <w:color w:val="auto"/>
                <w:sz w:val="18"/>
                <w:szCs w:val="18"/>
                <w:lang w:val="es-ES"/>
              </w:rPr>
              <w:t>10.297</w:t>
            </w:r>
            <w:r w:rsidR="00B8358C">
              <w:rPr>
                <w:rFonts w:ascii="Times New Roman" w:eastAsiaTheme="minorEastAsia" w:hAnsi="Times New Roman" w:cs="Times New Roman"/>
                <w:color w:val="auto"/>
                <w:sz w:val="18"/>
                <w:szCs w:val="18"/>
                <w:lang w:val="es-ES"/>
              </w:rPr>
              <w:t>,</w:t>
            </w:r>
            <w:r w:rsidR="00A83C8A" w:rsidRPr="00331929">
              <w:rPr>
                <w:rFonts w:ascii="Times New Roman" w:eastAsiaTheme="minorEastAsia" w:hAnsi="Times New Roman" w:cs="Times New Roman"/>
                <w:color w:val="auto"/>
                <w:sz w:val="18"/>
                <w:szCs w:val="18"/>
                <w:lang w:val="es-ES"/>
              </w:rPr>
              <w:t>00</w:t>
            </w:r>
          </w:p>
        </w:tc>
        <w:tc>
          <w:tcPr>
            <w:tcW w:w="538" w:type="pct"/>
            <w:tcBorders>
              <w:top w:val="none" w:sz="0" w:space="0" w:color="auto"/>
              <w:left w:val="none" w:sz="0" w:space="0" w:color="auto"/>
              <w:bottom w:val="none" w:sz="0" w:space="0" w:color="auto"/>
              <w:right w:val="none" w:sz="0" w:space="0" w:color="auto"/>
            </w:tcBorders>
            <w:shd w:val="clear" w:color="auto" w:fill="DEEAF6" w:themeFill="accent1" w:themeFillTint="33"/>
          </w:tcPr>
          <w:p w14:paraId="18D2E3EB" w14:textId="77777777" w:rsidR="00216D79" w:rsidRPr="00331929" w:rsidRDefault="00216D79" w:rsidP="00B8358C">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rPr>
            </w:pPr>
            <w:r w:rsidRPr="00331929">
              <w:rPr>
                <w:rFonts w:ascii="Times New Roman" w:eastAsiaTheme="minorEastAsia" w:hAnsi="Times New Roman" w:cs="Times New Roman"/>
                <w:color w:val="auto"/>
                <w:sz w:val="18"/>
                <w:szCs w:val="18"/>
              </w:rPr>
              <w:t>100,00</w:t>
            </w:r>
          </w:p>
        </w:tc>
        <w:tc>
          <w:tcPr>
            <w:tcW w:w="769" w:type="pct"/>
            <w:tcBorders>
              <w:top w:val="none" w:sz="0" w:space="0" w:color="auto"/>
              <w:left w:val="none" w:sz="0" w:space="0" w:color="auto"/>
              <w:bottom w:val="none" w:sz="0" w:space="0" w:color="auto"/>
              <w:right w:val="none" w:sz="0" w:space="0" w:color="auto"/>
            </w:tcBorders>
            <w:shd w:val="clear" w:color="auto" w:fill="DEEAF6" w:themeFill="accent1" w:themeFillTint="33"/>
          </w:tcPr>
          <w:p w14:paraId="6D7E6E95" w14:textId="64318A90" w:rsidR="00216D79" w:rsidRPr="00331929" w:rsidRDefault="00216D79" w:rsidP="00B8358C">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rPr>
            </w:pPr>
            <w:r w:rsidRPr="00331929">
              <w:rPr>
                <w:rFonts w:ascii="Times New Roman" w:eastAsiaTheme="minorEastAsia" w:hAnsi="Times New Roman" w:cs="Times New Roman"/>
                <w:color w:val="auto"/>
                <w:sz w:val="18"/>
                <w:szCs w:val="18"/>
              </w:rPr>
              <w:t>8.757</w:t>
            </w:r>
            <w:r w:rsidR="00B8358C">
              <w:rPr>
                <w:rFonts w:ascii="Times New Roman" w:eastAsiaTheme="minorEastAsia" w:hAnsi="Times New Roman" w:cs="Times New Roman"/>
                <w:color w:val="auto"/>
                <w:sz w:val="18"/>
                <w:szCs w:val="18"/>
              </w:rPr>
              <w:t>,</w:t>
            </w:r>
            <w:r w:rsidR="00A83C8A" w:rsidRPr="00331929">
              <w:rPr>
                <w:rFonts w:ascii="Times New Roman" w:eastAsiaTheme="minorEastAsia" w:hAnsi="Times New Roman" w:cs="Times New Roman"/>
                <w:color w:val="auto"/>
                <w:sz w:val="18"/>
                <w:szCs w:val="18"/>
              </w:rPr>
              <w:t>00</w:t>
            </w:r>
          </w:p>
        </w:tc>
        <w:tc>
          <w:tcPr>
            <w:tcW w:w="540" w:type="pct"/>
            <w:tcBorders>
              <w:top w:val="none" w:sz="0" w:space="0" w:color="auto"/>
              <w:left w:val="none" w:sz="0" w:space="0" w:color="auto"/>
              <w:bottom w:val="none" w:sz="0" w:space="0" w:color="auto"/>
              <w:right w:val="none" w:sz="0" w:space="0" w:color="auto"/>
            </w:tcBorders>
            <w:shd w:val="clear" w:color="auto" w:fill="DEEAF6" w:themeFill="accent1" w:themeFillTint="33"/>
          </w:tcPr>
          <w:p w14:paraId="26653D85" w14:textId="77777777" w:rsidR="00216D79" w:rsidRPr="00331929" w:rsidRDefault="00216D79" w:rsidP="00B8358C">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rPr>
            </w:pPr>
            <w:r w:rsidRPr="00331929">
              <w:rPr>
                <w:rFonts w:ascii="Times New Roman" w:eastAsiaTheme="minorEastAsia" w:hAnsi="Times New Roman" w:cs="Times New Roman"/>
                <w:color w:val="auto"/>
                <w:sz w:val="18"/>
                <w:szCs w:val="18"/>
              </w:rPr>
              <w:t>100,00</w:t>
            </w:r>
          </w:p>
        </w:tc>
        <w:tc>
          <w:tcPr>
            <w:tcW w:w="733" w:type="pct"/>
            <w:tcBorders>
              <w:top w:val="none" w:sz="0" w:space="0" w:color="auto"/>
              <w:left w:val="none" w:sz="0" w:space="0" w:color="auto"/>
              <w:bottom w:val="none" w:sz="0" w:space="0" w:color="auto"/>
              <w:right w:val="none" w:sz="0" w:space="0" w:color="auto"/>
            </w:tcBorders>
            <w:shd w:val="clear" w:color="auto" w:fill="DEEAF6" w:themeFill="accent1" w:themeFillTint="33"/>
          </w:tcPr>
          <w:p w14:paraId="14F5E6AB" w14:textId="75A4144C" w:rsidR="00216D79" w:rsidRPr="00331929" w:rsidRDefault="00216D79" w:rsidP="00B8358C">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rPr>
            </w:pPr>
            <w:r w:rsidRPr="00331929">
              <w:rPr>
                <w:rFonts w:ascii="Times New Roman" w:eastAsiaTheme="minorEastAsia" w:hAnsi="Times New Roman" w:cs="Times New Roman"/>
                <w:color w:val="auto"/>
                <w:sz w:val="18"/>
                <w:szCs w:val="18"/>
              </w:rPr>
              <w:t>-1</w:t>
            </w:r>
            <w:r w:rsidR="00A83C8A" w:rsidRPr="00331929">
              <w:rPr>
                <w:rFonts w:ascii="Times New Roman" w:eastAsiaTheme="minorEastAsia" w:hAnsi="Times New Roman" w:cs="Times New Roman"/>
                <w:color w:val="auto"/>
                <w:sz w:val="18"/>
                <w:szCs w:val="18"/>
              </w:rPr>
              <w:t>.</w:t>
            </w:r>
            <w:r w:rsidRPr="00331929">
              <w:rPr>
                <w:rFonts w:ascii="Times New Roman" w:eastAsiaTheme="minorEastAsia" w:hAnsi="Times New Roman" w:cs="Times New Roman"/>
                <w:color w:val="auto"/>
                <w:sz w:val="18"/>
                <w:szCs w:val="18"/>
              </w:rPr>
              <w:t>540</w:t>
            </w:r>
            <w:r w:rsidR="00B8358C">
              <w:rPr>
                <w:rFonts w:ascii="Times New Roman" w:eastAsiaTheme="minorEastAsia" w:hAnsi="Times New Roman" w:cs="Times New Roman"/>
                <w:color w:val="auto"/>
                <w:sz w:val="18"/>
                <w:szCs w:val="18"/>
              </w:rPr>
              <w:t>,</w:t>
            </w:r>
            <w:r w:rsidR="00A83C8A" w:rsidRPr="00331929">
              <w:rPr>
                <w:rFonts w:ascii="Times New Roman" w:eastAsiaTheme="minorEastAsia" w:hAnsi="Times New Roman" w:cs="Times New Roman"/>
                <w:color w:val="auto"/>
                <w:sz w:val="18"/>
                <w:szCs w:val="18"/>
              </w:rPr>
              <w:t>00</w:t>
            </w:r>
          </w:p>
        </w:tc>
        <w:tc>
          <w:tcPr>
            <w:tcW w:w="422" w:type="pct"/>
            <w:tcBorders>
              <w:top w:val="none" w:sz="0" w:space="0" w:color="auto"/>
              <w:left w:val="none" w:sz="0" w:space="0" w:color="auto"/>
              <w:bottom w:val="none" w:sz="0" w:space="0" w:color="auto"/>
            </w:tcBorders>
            <w:shd w:val="clear" w:color="auto" w:fill="DEEAF6" w:themeFill="accent1" w:themeFillTint="33"/>
          </w:tcPr>
          <w:p w14:paraId="389EEF4F" w14:textId="77777777" w:rsidR="00216D79" w:rsidRPr="00331929" w:rsidRDefault="00A83C8A" w:rsidP="00B8358C">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rPr>
            </w:pPr>
            <w:r w:rsidRPr="00331929">
              <w:rPr>
                <w:rFonts w:ascii="Times New Roman" w:eastAsiaTheme="minorEastAsia" w:hAnsi="Times New Roman" w:cs="Times New Roman"/>
                <w:color w:val="auto"/>
                <w:sz w:val="18"/>
                <w:szCs w:val="18"/>
              </w:rPr>
              <w:t>-14,90</w:t>
            </w:r>
          </w:p>
        </w:tc>
      </w:tr>
      <w:tr w:rsidR="00331929" w:rsidRPr="00331929" w14:paraId="41177F88" w14:textId="77777777" w:rsidTr="006803AD">
        <w:trPr>
          <w:jc w:val="center"/>
        </w:trPr>
        <w:tc>
          <w:tcPr>
            <w:cnfStyle w:val="001000000000" w:firstRow="0" w:lastRow="0" w:firstColumn="1" w:lastColumn="0" w:oddVBand="0" w:evenVBand="0" w:oddHBand="0" w:evenHBand="0" w:firstRowFirstColumn="0" w:firstRowLastColumn="0" w:lastRowFirstColumn="0" w:lastRowLastColumn="0"/>
            <w:tcW w:w="1185" w:type="pct"/>
            <w:tcBorders>
              <w:top w:val="none" w:sz="0" w:space="0" w:color="auto"/>
              <w:left w:val="none" w:sz="0" w:space="0" w:color="auto"/>
              <w:bottom w:val="none" w:sz="0" w:space="0" w:color="auto"/>
              <w:right w:val="none" w:sz="0" w:space="0" w:color="auto"/>
            </w:tcBorders>
            <w:noWrap/>
          </w:tcPr>
          <w:p w14:paraId="399E54FF" w14:textId="77777777" w:rsidR="00216D79" w:rsidRPr="00331929" w:rsidRDefault="00216D79" w:rsidP="00AC03A4">
            <w:pPr>
              <w:jc w:val="both"/>
              <w:rPr>
                <w:rFonts w:ascii="Times New Roman" w:eastAsiaTheme="minorEastAsia" w:hAnsi="Times New Roman" w:cs="Times New Roman"/>
                <w:b/>
                <w:color w:val="auto"/>
                <w:sz w:val="18"/>
                <w:szCs w:val="18"/>
                <w:lang w:val="es-AR"/>
              </w:rPr>
            </w:pPr>
            <w:r w:rsidRPr="00331929">
              <w:rPr>
                <w:rFonts w:ascii="Times New Roman" w:eastAsiaTheme="minorEastAsia" w:hAnsi="Times New Roman" w:cs="Times New Roman"/>
                <w:b/>
                <w:color w:val="auto"/>
                <w:sz w:val="18"/>
                <w:szCs w:val="18"/>
                <w:lang w:val="es-ES"/>
              </w:rPr>
              <w:t>EAPs con límites definidos</w:t>
            </w:r>
          </w:p>
        </w:tc>
        <w:tc>
          <w:tcPr>
            <w:tcW w:w="815" w:type="pct"/>
          </w:tcPr>
          <w:p w14:paraId="0A2F80B3" w14:textId="1FE6D43B" w:rsidR="00216D79" w:rsidRPr="00331929" w:rsidRDefault="00216D79" w:rsidP="00B8358C">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18"/>
                <w:szCs w:val="18"/>
              </w:rPr>
            </w:pPr>
            <w:r w:rsidRPr="00331929">
              <w:rPr>
                <w:rFonts w:ascii="Times New Roman" w:eastAsiaTheme="minorEastAsia" w:hAnsi="Times New Roman" w:cs="Times New Roman"/>
                <w:color w:val="auto"/>
                <w:sz w:val="18"/>
                <w:szCs w:val="18"/>
                <w:lang w:val="es-ES"/>
              </w:rPr>
              <w:t>5.575</w:t>
            </w:r>
            <w:r w:rsidR="00B8358C">
              <w:rPr>
                <w:rFonts w:ascii="Times New Roman" w:eastAsiaTheme="minorEastAsia" w:hAnsi="Times New Roman" w:cs="Times New Roman"/>
                <w:color w:val="auto"/>
                <w:sz w:val="18"/>
                <w:szCs w:val="18"/>
                <w:lang w:val="es-ES"/>
              </w:rPr>
              <w:t>,</w:t>
            </w:r>
            <w:r w:rsidR="00A83C8A" w:rsidRPr="00331929">
              <w:rPr>
                <w:rFonts w:ascii="Times New Roman" w:eastAsiaTheme="minorEastAsia" w:hAnsi="Times New Roman" w:cs="Times New Roman"/>
                <w:color w:val="auto"/>
                <w:sz w:val="18"/>
                <w:szCs w:val="18"/>
                <w:lang w:val="es-ES"/>
              </w:rPr>
              <w:t>00</w:t>
            </w:r>
          </w:p>
        </w:tc>
        <w:tc>
          <w:tcPr>
            <w:tcW w:w="538" w:type="pct"/>
          </w:tcPr>
          <w:p w14:paraId="5B690022" w14:textId="77777777" w:rsidR="00216D79" w:rsidRPr="00331929" w:rsidRDefault="00216D79" w:rsidP="00B8358C">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18"/>
                <w:szCs w:val="18"/>
                <w:lang w:val="es-ES"/>
              </w:rPr>
            </w:pPr>
            <w:r w:rsidRPr="00331929">
              <w:rPr>
                <w:rFonts w:ascii="Times New Roman" w:eastAsiaTheme="minorEastAsia" w:hAnsi="Times New Roman" w:cs="Times New Roman"/>
                <w:color w:val="auto"/>
                <w:sz w:val="18"/>
                <w:szCs w:val="18"/>
                <w:lang w:val="es-ES"/>
              </w:rPr>
              <w:t>54,14</w:t>
            </w:r>
          </w:p>
        </w:tc>
        <w:tc>
          <w:tcPr>
            <w:tcW w:w="769" w:type="pct"/>
          </w:tcPr>
          <w:p w14:paraId="6636FF87" w14:textId="19F1FF82" w:rsidR="00216D79" w:rsidRPr="00331929" w:rsidRDefault="00216D79" w:rsidP="00B8358C">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18"/>
                <w:szCs w:val="18"/>
              </w:rPr>
            </w:pPr>
            <w:r w:rsidRPr="00331929">
              <w:rPr>
                <w:rFonts w:ascii="Times New Roman" w:eastAsiaTheme="minorEastAsia" w:hAnsi="Times New Roman" w:cs="Times New Roman"/>
                <w:color w:val="auto"/>
                <w:sz w:val="18"/>
                <w:szCs w:val="18"/>
                <w:lang w:val="es-ES"/>
              </w:rPr>
              <w:t>5.843</w:t>
            </w:r>
            <w:r w:rsidR="00B8358C">
              <w:rPr>
                <w:rFonts w:ascii="Times New Roman" w:eastAsiaTheme="minorEastAsia" w:hAnsi="Times New Roman" w:cs="Times New Roman"/>
                <w:color w:val="auto"/>
                <w:sz w:val="18"/>
                <w:szCs w:val="18"/>
                <w:lang w:val="es-ES"/>
              </w:rPr>
              <w:t>,</w:t>
            </w:r>
            <w:r w:rsidR="00A83C8A" w:rsidRPr="00331929">
              <w:rPr>
                <w:rFonts w:ascii="Times New Roman" w:eastAsiaTheme="minorEastAsia" w:hAnsi="Times New Roman" w:cs="Times New Roman"/>
                <w:color w:val="auto"/>
                <w:sz w:val="18"/>
                <w:szCs w:val="18"/>
                <w:lang w:val="es-ES"/>
              </w:rPr>
              <w:t>00</w:t>
            </w:r>
          </w:p>
        </w:tc>
        <w:tc>
          <w:tcPr>
            <w:tcW w:w="540" w:type="pct"/>
          </w:tcPr>
          <w:p w14:paraId="66F5BC73" w14:textId="77777777" w:rsidR="00216D79" w:rsidRPr="00331929" w:rsidRDefault="00216D79" w:rsidP="00B8358C">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18"/>
                <w:szCs w:val="18"/>
              </w:rPr>
            </w:pPr>
            <w:r w:rsidRPr="00331929">
              <w:rPr>
                <w:rFonts w:ascii="Times New Roman" w:eastAsiaTheme="minorEastAsia" w:hAnsi="Times New Roman" w:cs="Times New Roman"/>
                <w:color w:val="auto"/>
                <w:sz w:val="18"/>
                <w:szCs w:val="18"/>
              </w:rPr>
              <w:t>66,72</w:t>
            </w:r>
          </w:p>
        </w:tc>
        <w:tc>
          <w:tcPr>
            <w:tcW w:w="733" w:type="pct"/>
          </w:tcPr>
          <w:p w14:paraId="7C4B82E2" w14:textId="6C2C8513" w:rsidR="00216D79" w:rsidRPr="00331929" w:rsidRDefault="00216D79" w:rsidP="00B8358C">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18"/>
                <w:szCs w:val="18"/>
              </w:rPr>
            </w:pPr>
            <w:r w:rsidRPr="00331929">
              <w:rPr>
                <w:rFonts w:ascii="Times New Roman" w:eastAsiaTheme="minorEastAsia" w:hAnsi="Times New Roman" w:cs="Times New Roman"/>
                <w:color w:val="auto"/>
                <w:sz w:val="18"/>
                <w:szCs w:val="18"/>
              </w:rPr>
              <w:t>268</w:t>
            </w:r>
            <w:r w:rsidR="00B8358C">
              <w:rPr>
                <w:rFonts w:ascii="Times New Roman" w:eastAsiaTheme="minorEastAsia" w:hAnsi="Times New Roman" w:cs="Times New Roman"/>
                <w:color w:val="auto"/>
                <w:sz w:val="18"/>
                <w:szCs w:val="18"/>
              </w:rPr>
              <w:t>,</w:t>
            </w:r>
            <w:r w:rsidR="00A83C8A" w:rsidRPr="00331929">
              <w:rPr>
                <w:rFonts w:ascii="Times New Roman" w:eastAsiaTheme="minorEastAsia" w:hAnsi="Times New Roman" w:cs="Times New Roman"/>
                <w:color w:val="auto"/>
                <w:sz w:val="18"/>
                <w:szCs w:val="18"/>
              </w:rPr>
              <w:t>00</w:t>
            </w:r>
          </w:p>
        </w:tc>
        <w:tc>
          <w:tcPr>
            <w:tcW w:w="422" w:type="pct"/>
          </w:tcPr>
          <w:p w14:paraId="77E902A6" w14:textId="77777777" w:rsidR="00216D79" w:rsidRPr="00331929" w:rsidRDefault="00A83C8A" w:rsidP="00B8358C">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18"/>
                <w:szCs w:val="18"/>
              </w:rPr>
            </w:pPr>
            <w:r w:rsidRPr="00331929">
              <w:rPr>
                <w:rFonts w:ascii="Times New Roman" w:eastAsiaTheme="minorEastAsia" w:hAnsi="Times New Roman" w:cs="Times New Roman"/>
                <w:color w:val="auto"/>
                <w:sz w:val="18"/>
                <w:szCs w:val="18"/>
              </w:rPr>
              <w:t>4,80</w:t>
            </w:r>
          </w:p>
        </w:tc>
      </w:tr>
      <w:tr w:rsidR="00331929" w:rsidRPr="00331929" w14:paraId="45DF25E3" w14:textId="77777777" w:rsidTr="006803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5" w:type="pct"/>
            <w:tcBorders>
              <w:top w:val="none" w:sz="0" w:space="0" w:color="auto"/>
              <w:left w:val="none" w:sz="0" w:space="0" w:color="auto"/>
              <w:bottom w:val="none" w:sz="0" w:space="0" w:color="auto"/>
              <w:right w:val="none" w:sz="0" w:space="0" w:color="auto"/>
            </w:tcBorders>
            <w:shd w:val="clear" w:color="auto" w:fill="DEEAF6" w:themeFill="accent1" w:themeFillTint="33"/>
            <w:noWrap/>
          </w:tcPr>
          <w:p w14:paraId="3D846D88" w14:textId="77777777" w:rsidR="00216D79" w:rsidRPr="00331929" w:rsidRDefault="00216D79" w:rsidP="00AC03A4">
            <w:pPr>
              <w:jc w:val="both"/>
              <w:rPr>
                <w:rFonts w:ascii="Times New Roman" w:eastAsiaTheme="minorEastAsia" w:hAnsi="Times New Roman" w:cs="Times New Roman"/>
                <w:b/>
                <w:color w:val="auto"/>
                <w:sz w:val="18"/>
                <w:szCs w:val="18"/>
                <w:lang w:val="es-AR"/>
              </w:rPr>
            </w:pPr>
            <w:r w:rsidRPr="00331929">
              <w:rPr>
                <w:rFonts w:ascii="Times New Roman" w:eastAsiaTheme="minorEastAsia" w:hAnsi="Times New Roman" w:cs="Times New Roman"/>
                <w:b/>
                <w:color w:val="auto"/>
                <w:sz w:val="18"/>
                <w:szCs w:val="18"/>
                <w:lang w:val="es-ES"/>
              </w:rPr>
              <w:t>EAPs sin límites definidos</w:t>
            </w:r>
          </w:p>
        </w:tc>
        <w:tc>
          <w:tcPr>
            <w:tcW w:w="815" w:type="pct"/>
            <w:tcBorders>
              <w:top w:val="none" w:sz="0" w:space="0" w:color="auto"/>
              <w:left w:val="none" w:sz="0" w:space="0" w:color="auto"/>
              <w:bottom w:val="none" w:sz="0" w:space="0" w:color="auto"/>
              <w:right w:val="none" w:sz="0" w:space="0" w:color="auto"/>
            </w:tcBorders>
            <w:shd w:val="clear" w:color="auto" w:fill="DEEAF6" w:themeFill="accent1" w:themeFillTint="33"/>
          </w:tcPr>
          <w:p w14:paraId="1C6ACE2E" w14:textId="4E497054" w:rsidR="00216D79" w:rsidRPr="00331929" w:rsidRDefault="00216D79" w:rsidP="00B8358C">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rPr>
            </w:pPr>
            <w:r w:rsidRPr="00331929">
              <w:rPr>
                <w:rFonts w:ascii="Times New Roman" w:eastAsiaTheme="minorEastAsia" w:hAnsi="Times New Roman" w:cs="Times New Roman"/>
                <w:color w:val="auto"/>
                <w:sz w:val="18"/>
                <w:szCs w:val="18"/>
                <w:lang w:val="es-ES"/>
              </w:rPr>
              <w:t>4.722</w:t>
            </w:r>
            <w:r w:rsidR="00B8358C">
              <w:rPr>
                <w:rFonts w:ascii="Times New Roman" w:eastAsiaTheme="minorEastAsia" w:hAnsi="Times New Roman" w:cs="Times New Roman"/>
                <w:color w:val="auto"/>
                <w:sz w:val="18"/>
                <w:szCs w:val="18"/>
                <w:lang w:val="es-ES"/>
              </w:rPr>
              <w:t>,</w:t>
            </w:r>
            <w:r w:rsidR="00A83C8A" w:rsidRPr="00331929">
              <w:rPr>
                <w:rFonts w:ascii="Times New Roman" w:eastAsiaTheme="minorEastAsia" w:hAnsi="Times New Roman" w:cs="Times New Roman"/>
                <w:color w:val="auto"/>
                <w:sz w:val="18"/>
                <w:szCs w:val="18"/>
                <w:lang w:val="es-ES"/>
              </w:rPr>
              <w:t>00</w:t>
            </w:r>
          </w:p>
        </w:tc>
        <w:tc>
          <w:tcPr>
            <w:tcW w:w="538" w:type="pct"/>
            <w:tcBorders>
              <w:top w:val="none" w:sz="0" w:space="0" w:color="auto"/>
              <w:left w:val="none" w:sz="0" w:space="0" w:color="auto"/>
              <w:bottom w:val="none" w:sz="0" w:space="0" w:color="auto"/>
              <w:right w:val="none" w:sz="0" w:space="0" w:color="auto"/>
            </w:tcBorders>
            <w:shd w:val="clear" w:color="auto" w:fill="DEEAF6" w:themeFill="accent1" w:themeFillTint="33"/>
          </w:tcPr>
          <w:p w14:paraId="48747109" w14:textId="77777777" w:rsidR="00216D79" w:rsidRPr="00331929" w:rsidRDefault="00216D79" w:rsidP="00B8358C">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lang w:val="es-ES"/>
              </w:rPr>
            </w:pPr>
            <w:r w:rsidRPr="00331929">
              <w:rPr>
                <w:rFonts w:ascii="Times New Roman" w:eastAsiaTheme="minorEastAsia" w:hAnsi="Times New Roman" w:cs="Times New Roman"/>
                <w:color w:val="auto"/>
                <w:sz w:val="18"/>
                <w:szCs w:val="18"/>
                <w:lang w:val="es-ES"/>
              </w:rPr>
              <w:t>45,85</w:t>
            </w:r>
          </w:p>
        </w:tc>
        <w:tc>
          <w:tcPr>
            <w:tcW w:w="769" w:type="pct"/>
            <w:tcBorders>
              <w:top w:val="none" w:sz="0" w:space="0" w:color="auto"/>
              <w:left w:val="none" w:sz="0" w:space="0" w:color="auto"/>
              <w:bottom w:val="none" w:sz="0" w:space="0" w:color="auto"/>
              <w:right w:val="none" w:sz="0" w:space="0" w:color="auto"/>
            </w:tcBorders>
            <w:shd w:val="clear" w:color="auto" w:fill="DEEAF6" w:themeFill="accent1" w:themeFillTint="33"/>
          </w:tcPr>
          <w:p w14:paraId="36213432" w14:textId="58B8C2C4" w:rsidR="00216D79" w:rsidRPr="00331929" w:rsidRDefault="00216D79" w:rsidP="00B8358C">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rPr>
            </w:pPr>
            <w:r w:rsidRPr="00331929">
              <w:rPr>
                <w:rFonts w:ascii="Times New Roman" w:eastAsiaTheme="minorEastAsia" w:hAnsi="Times New Roman" w:cs="Times New Roman"/>
                <w:color w:val="auto"/>
                <w:sz w:val="18"/>
                <w:szCs w:val="18"/>
                <w:lang w:val="es-ES"/>
              </w:rPr>
              <w:t>2.914</w:t>
            </w:r>
            <w:r w:rsidR="00B8358C">
              <w:rPr>
                <w:rFonts w:ascii="Times New Roman" w:eastAsiaTheme="minorEastAsia" w:hAnsi="Times New Roman" w:cs="Times New Roman"/>
                <w:color w:val="auto"/>
                <w:sz w:val="18"/>
                <w:szCs w:val="18"/>
                <w:lang w:val="es-ES"/>
              </w:rPr>
              <w:t>,</w:t>
            </w:r>
            <w:r w:rsidR="00A83C8A" w:rsidRPr="00331929">
              <w:rPr>
                <w:rFonts w:ascii="Times New Roman" w:eastAsiaTheme="minorEastAsia" w:hAnsi="Times New Roman" w:cs="Times New Roman"/>
                <w:color w:val="auto"/>
                <w:sz w:val="18"/>
                <w:szCs w:val="18"/>
                <w:lang w:val="es-ES"/>
              </w:rPr>
              <w:t>00</w:t>
            </w:r>
          </w:p>
        </w:tc>
        <w:tc>
          <w:tcPr>
            <w:tcW w:w="540" w:type="pct"/>
            <w:tcBorders>
              <w:top w:val="none" w:sz="0" w:space="0" w:color="auto"/>
              <w:left w:val="none" w:sz="0" w:space="0" w:color="auto"/>
              <w:bottom w:val="none" w:sz="0" w:space="0" w:color="auto"/>
              <w:right w:val="none" w:sz="0" w:space="0" w:color="auto"/>
            </w:tcBorders>
            <w:shd w:val="clear" w:color="auto" w:fill="DEEAF6" w:themeFill="accent1" w:themeFillTint="33"/>
          </w:tcPr>
          <w:p w14:paraId="32DC3868" w14:textId="77777777" w:rsidR="00216D79" w:rsidRPr="00331929" w:rsidRDefault="00216D79" w:rsidP="00B8358C">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rPr>
            </w:pPr>
            <w:r w:rsidRPr="00331929">
              <w:rPr>
                <w:rFonts w:ascii="Times New Roman" w:eastAsiaTheme="minorEastAsia" w:hAnsi="Times New Roman" w:cs="Times New Roman"/>
                <w:color w:val="auto"/>
                <w:sz w:val="18"/>
                <w:szCs w:val="18"/>
              </w:rPr>
              <w:t>33,27</w:t>
            </w:r>
          </w:p>
        </w:tc>
        <w:tc>
          <w:tcPr>
            <w:tcW w:w="733" w:type="pct"/>
            <w:tcBorders>
              <w:top w:val="none" w:sz="0" w:space="0" w:color="auto"/>
              <w:left w:val="none" w:sz="0" w:space="0" w:color="auto"/>
              <w:bottom w:val="none" w:sz="0" w:space="0" w:color="auto"/>
              <w:right w:val="none" w:sz="0" w:space="0" w:color="auto"/>
            </w:tcBorders>
            <w:shd w:val="clear" w:color="auto" w:fill="DEEAF6" w:themeFill="accent1" w:themeFillTint="33"/>
          </w:tcPr>
          <w:p w14:paraId="456CCA3E" w14:textId="66B9F379" w:rsidR="00216D79" w:rsidRPr="00331929" w:rsidRDefault="00216D79" w:rsidP="00B8358C">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rPr>
            </w:pPr>
            <w:r w:rsidRPr="00331929">
              <w:rPr>
                <w:rFonts w:ascii="Times New Roman" w:eastAsiaTheme="minorEastAsia" w:hAnsi="Times New Roman" w:cs="Times New Roman"/>
                <w:color w:val="auto"/>
                <w:sz w:val="18"/>
                <w:szCs w:val="18"/>
              </w:rPr>
              <w:t>-1</w:t>
            </w:r>
            <w:r w:rsidR="00A83C8A" w:rsidRPr="00331929">
              <w:rPr>
                <w:rFonts w:ascii="Times New Roman" w:eastAsiaTheme="minorEastAsia" w:hAnsi="Times New Roman" w:cs="Times New Roman"/>
                <w:color w:val="auto"/>
                <w:sz w:val="18"/>
                <w:szCs w:val="18"/>
              </w:rPr>
              <w:t>.</w:t>
            </w:r>
            <w:r w:rsidRPr="00331929">
              <w:rPr>
                <w:rFonts w:ascii="Times New Roman" w:eastAsiaTheme="minorEastAsia" w:hAnsi="Times New Roman" w:cs="Times New Roman"/>
                <w:color w:val="auto"/>
                <w:sz w:val="18"/>
                <w:szCs w:val="18"/>
              </w:rPr>
              <w:t>808</w:t>
            </w:r>
            <w:r w:rsidR="00B8358C">
              <w:rPr>
                <w:rFonts w:ascii="Times New Roman" w:eastAsiaTheme="minorEastAsia" w:hAnsi="Times New Roman" w:cs="Times New Roman"/>
                <w:color w:val="auto"/>
                <w:sz w:val="18"/>
                <w:szCs w:val="18"/>
              </w:rPr>
              <w:t>,</w:t>
            </w:r>
            <w:r w:rsidR="00A83C8A" w:rsidRPr="00331929">
              <w:rPr>
                <w:rFonts w:ascii="Times New Roman" w:eastAsiaTheme="minorEastAsia" w:hAnsi="Times New Roman" w:cs="Times New Roman"/>
                <w:color w:val="auto"/>
                <w:sz w:val="18"/>
                <w:szCs w:val="18"/>
              </w:rPr>
              <w:t>00</w:t>
            </w:r>
          </w:p>
        </w:tc>
        <w:tc>
          <w:tcPr>
            <w:tcW w:w="422" w:type="pct"/>
            <w:tcBorders>
              <w:top w:val="none" w:sz="0" w:space="0" w:color="auto"/>
              <w:left w:val="none" w:sz="0" w:space="0" w:color="auto"/>
              <w:bottom w:val="none" w:sz="0" w:space="0" w:color="auto"/>
            </w:tcBorders>
            <w:shd w:val="clear" w:color="auto" w:fill="DEEAF6" w:themeFill="accent1" w:themeFillTint="33"/>
          </w:tcPr>
          <w:p w14:paraId="79978BE7" w14:textId="77777777" w:rsidR="00216D79" w:rsidRPr="00331929" w:rsidRDefault="00A83C8A" w:rsidP="00B8358C">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rPr>
            </w:pPr>
            <w:r w:rsidRPr="00331929">
              <w:rPr>
                <w:rFonts w:ascii="Times New Roman" w:eastAsiaTheme="minorEastAsia" w:hAnsi="Times New Roman" w:cs="Times New Roman"/>
                <w:color w:val="auto"/>
                <w:sz w:val="18"/>
                <w:szCs w:val="18"/>
              </w:rPr>
              <w:t>-38,28</w:t>
            </w:r>
          </w:p>
        </w:tc>
      </w:tr>
      <w:tr w:rsidR="00331929" w:rsidRPr="00331929" w14:paraId="232A4345" w14:textId="77777777" w:rsidTr="006803AD">
        <w:trPr>
          <w:jc w:val="center"/>
        </w:trPr>
        <w:tc>
          <w:tcPr>
            <w:cnfStyle w:val="001000000000" w:firstRow="0" w:lastRow="0" w:firstColumn="1" w:lastColumn="0" w:oddVBand="0" w:evenVBand="0" w:oddHBand="0" w:evenHBand="0" w:firstRowFirstColumn="0" w:firstRowLastColumn="0" w:lastRowFirstColumn="0" w:lastRowLastColumn="0"/>
            <w:tcW w:w="1185" w:type="pct"/>
            <w:tcBorders>
              <w:top w:val="none" w:sz="0" w:space="0" w:color="auto"/>
              <w:left w:val="none" w:sz="0" w:space="0" w:color="auto"/>
              <w:bottom w:val="none" w:sz="0" w:space="0" w:color="auto"/>
              <w:right w:val="none" w:sz="0" w:space="0" w:color="auto"/>
            </w:tcBorders>
            <w:noWrap/>
          </w:tcPr>
          <w:p w14:paraId="1CBD50CE" w14:textId="77777777" w:rsidR="00216D79" w:rsidRPr="00331929" w:rsidRDefault="00216D79" w:rsidP="00AC03A4">
            <w:pPr>
              <w:jc w:val="both"/>
              <w:rPr>
                <w:rFonts w:ascii="Times New Roman" w:eastAsiaTheme="minorEastAsia" w:hAnsi="Times New Roman" w:cs="Times New Roman"/>
                <w:b/>
                <w:color w:val="auto"/>
                <w:sz w:val="18"/>
                <w:szCs w:val="18"/>
              </w:rPr>
            </w:pPr>
            <w:r w:rsidRPr="00331929">
              <w:rPr>
                <w:rFonts w:ascii="Times New Roman" w:eastAsiaTheme="minorEastAsia" w:hAnsi="Times New Roman" w:cs="Times New Roman"/>
                <w:b/>
                <w:color w:val="auto"/>
                <w:sz w:val="18"/>
                <w:szCs w:val="18"/>
                <w:lang w:val="es-ES"/>
              </w:rPr>
              <w:t>Superfice Total (has)</w:t>
            </w:r>
          </w:p>
        </w:tc>
        <w:tc>
          <w:tcPr>
            <w:tcW w:w="815" w:type="pct"/>
          </w:tcPr>
          <w:p w14:paraId="25D1B26C" w14:textId="77777777" w:rsidR="00216D79" w:rsidRPr="00331929" w:rsidRDefault="00216D79" w:rsidP="00B8358C">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18"/>
                <w:szCs w:val="18"/>
              </w:rPr>
            </w:pPr>
            <w:r w:rsidRPr="00331929">
              <w:rPr>
                <w:rFonts w:ascii="Times New Roman" w:eastAsiaTheme="minorEastAsia" w:hAnsi="Times New Roman" w:cs="Times New Roman"/>
                <w:color w:val="auto"/>
                <w:sz w:val="18"/>
                <w:szCs w:val="18"/>
                <w:lang w:val="es-ES"/>
              </w:rPr>
              <w:t>4.269.497,2</w:t>
            </w:r>
            <w:r w:rsidR="00A83C8A" w:rsidRPr="00331929">
              <w:rPr>
                <w:rFonts w:ascii="Times New Roman" w:eastAsiaTheme="minorEastAsia" w:hAnsi="Times New Roman" w:cs="Times New Roman"/>
                <w:color w:val="auto"/>
                <w:sz w:val="18"/>
                <w:szCs w:val="18"/>
                <w:lang w:val="es-ES"/>
              </w:rPr>
              <w:t>0</w:t>
            </w:r>
          </w:p>
        </w:tc>
        <w:tc>
          <w:tcPr>
            <w:tcW w:w="538" w:type="pct"/>
          </w:tcPr>
          <w:p w14:paraId="78B6ACED" w14:textId="77777777" w:rsidR="00216D79" w:rsidRPr="00331929" w:rsidRDefault="00216D79" w:rsidP="00B8358C">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18"/>
                <w:szCs w:val="18"/>
                <w:lang w:val="es-ES"/>
              </w:rPr>
            </w:pPr>
            <w:r w:rsidRPr="00331929">
              <w:rPr>
                <w:rFonts w:ascii="Times New Roman" w:eastAsiaTheme="minorEastAsia" w:hAnsi="Times New Roman" w:cs="Times New Roman"/>
                <w:color w:val="auto"/>
                <w:sz w:val="18"/>
                <w:szCs w:val="18"/>
                <w:lang w:val="es-ES"/>
              </w:rPr>
              <w:t>100,00</w:t>
            </w:r>
          </w:p>
        </w:tc>
        <w:tc>
          <w:tcPr>
            <w:tcW w:w="769" w:type="pct"/>
          </w:tcPr>
          <w:p w14:paraId="1314FC2F" w14:textId="77777777" w:rsidR="00216D79" w:rsidRPr="00331929" w:rsidRDefault="00216D79" w:rsidP="00B8358C">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18"/>
                <w:szCs w:val="18"/>
              </w:rPr>
            </w:pPr>
            <w:r w:rsidRPr="00331929">
              <w:rPr>
                <w:rFonts w:ascii="Times New Roman" w:eastAsiaTheme="minorEastAsia" w:hAnsi="Times New Roman" w:cs="Times New Roman"/>
                <w:color w:val="auto"/>
                <w:sz w:val="18"/>
                <w:szCs w:val="18"/>
                <w:lang w:val="es-ES"/>
              </w:rPr>
              <w:t>4.480.165,5</w:t>
            </w:r>
            <w:r w:rsidR="00A83C8A" w:rsidRPr="00331929">
              <w:rPr>
                <w:rFonts w:ascii="Times New Roman" w:eastAsiaTheme="minorEastAsia" w:hAnsi="Times New Roman" w:cs="Times New Roman"/>
                <w:color w:val="auto"/>
                <w:sz w:val="18"/>
                <w:szCs w:val="18"/>
                <w:lang w:val="es-ES"/>
              </w:rPr>
              <w:t>0</w:t>
            </w:r>
          </w:p>
        </w:tc>
        <w:tc>
          <w:tcPr>
            <w:tcW w:w="540" w:type="pct"/>
          </w:tcPr>
          <w:p w14:paraId="271B42C2" w14:textId="77777777" w:rsidR="00216D79" w:rsidRPr="00331929" w:rsidRDefault="00216D79" w:rsidP="00B8358C">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18"/>
                <w:szCs w:val="18"/>
              </w:rPr>
            </w:pPr>
            <w:r w:rsidRPr="00331929">
              <w:rPr>
                <w:rFonts w:ascii="Times New Roman" w:eastAsiaTheme="minorEastAsia" w:hAnsi="Times New Roman" w:cs="Times New Roman"/>
                <w:color w:val="auto"/>
                <w:sz w:val="18"/>
                <w:szCs w:val="18"/>
              </w:rPr>
              <w:t>100,00</w:t>
            </w:r>
          </w:p>
        </w:tc>
        <w:tc>
          <w:tcPr>
            <w:tcW w:w="733" w:type="pct"/>
          </w:tcPr>
          <w:p w14:paraId="5BDCE258" w14:textId="77777777" w:rsidR="00216D79" w:rsidRPr="00331929" w:rsidRDefault="00216D79" w:rsidP="00B8358C">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18"/>
                <w:szCs w:val="18"/>
              </w:rPr>
            </w:pPr>
            <w:r w:rsidRPr="00331929">
              <w:rPr>
                <w:rFonts w:ascii="Times New Roman" w:eastAsiaTheme="minorEastAsia" w:hAnsi="Times New Roman" w:cs="Times New Roman"/>
                <w:color w:val="auto"/>
                <w:sz w:val="18"/>
                <w:szCs w:val="18"/>
              </w:rPr>
              <w:t>210.668,3</w:t>
            </w:r>
            <w:r w:rsidR="00A83C8A" w:rsidRPr="00331929">
              <w:rPr>
                <w:rFonts w:ascii="Times New Roman" w:eastAsiaTheme="minorEastAsia" w:hAnsi="Times New Roman" w:cs="Times New Roman"/>
                <w:color w:val="auto"/>
                <w:sz w:val="18"/>
                <w:szCs w:val="18"/>
              </w:rPr>
              <w:t>0</w:t>
            </w:r>
          </w:p>
        </w:tc>
        <w:tc>
          <w:tcPr>
            <w:tcW w:w="422" w:type="pct"/>
          </w:tcPr>
          <w:p w14:paraId="43E429F4" w14:textId="77777777" w:rsidR="00216D79" w:rsidRPr="00331929" w:rsidRDefault="00A83C8A" w:rsidP="00B8358C">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18"/>
                <w:szCs w:val="18"/>
              </w:rPr>
            </w:pPr>
            <w:r w:rsidRPr="00331929">
              <w:rPr>
                <w:rFonts w:ascii="Times New Roman" w:eastAsiaTheme="minorEastAsia" w:hAnsi="Times New Roman" w:cs="Times New Roman"/>
                <w:color w:val="auto"/>
                <w:sz w:val="18"/>
                <w:szCs w:val="18"/>
              </w:rPr>
              <w:t>4,93</w:t>
            </w:r>
          </w:p>
        </w:tc>
      </w:tr>
      <w:tr w:rsidR="00A83C8A" w:rsidRPr="00331929" w14:paraId="425337CF" w14:textId="77777777" w:rsidTr="006803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5" w:type="pct"/>
            <w:tcBorders>
              <w:top w:val="none" w:sz="0" w:space="0" w:color="auto"/>
              <w:left w:val="none" w:sz="0" w:space="0" w:color="auto"/>
              <w:bottom w:val="none" w:sz="0" w:space="0" w:color="auto"/>
              <w:right w:val="none" w:sz="0" w:space="0" w:color="auto"/>
            </w:tcBorders>
            <w:shd w:val="clear" w:color="auto" w:fill="DEEAF6" w:themeFill="accent1" w:themeFillTint="33"/>
            <w:noWrap/>
          </w:tcPr>
          <w:p w14:paraId="27636870" w14:textId="77777777" w:rsidR="00216D79" w:rsidRPr="00331929" w:rsidRDefault="00216D79" w:rsidP="00AC03A4">
            <w:pPr>
              <w:jc w:val="both"/>
              <w:rPr>
                <w:rFonts w:ascii="Times New Roman" w:eastAsiaTheme="minorEastAsia" w:hAnsi="Times New Roman" w:cs="Times New Roman"/>
                <w:b/>
                <w:color w:val="auto"/>
                <w:sz w:val="18"/>
                <w:szCs w:val="18"/>
              </w:rPr>
            </w:pPr>
            <w:r w:rsidRPr="00331929">
              <w:rPr>
                <w:rFonts w:ascii="Times New Roman" w:eastAsiaTheme="minorEastAsia" w:hAnsi="Times New Roman" w:cs="Times New Roman"/>
                <w:b/>
                <w:color w:val="auto"/>
                <w:sz w:val="18"/>
                <w:szCs w:val="18"/>
                <w:lang w:val="es-ES"/>
              </w:rPr>
              <w:t>Superficie Explotada</w:t>
            </w:r>
          </w:p>
        </w:tc>
        <w:tc>
          <w:tcPr>
            <w:tcW w:w="815" w:type="pct"/>
            <w:tcBorders>
              <w:top w:val="none" w:sz="0" w:space="0" w:color="auto"/>
              <w:left w:val="none" w:sz="0" w:space="0" w:color="auto"/>
              <w:bottom w:val="none" w:sz="0" w:space="0" w:color="auto"/>
              <w:right w:val="none" w:sz="0" w:space="0" w:color="auto"/>
            </w:tcBorders>
            <w:shd w:val="clear" w:color="auto" w:fill="DEEAF6" w:themeFill="accent1" w:themeFillTint="33"/>
          </w:tcPr>
          <w:p w14:paraId="2BAA5746" w14:textId="77777777" w:rsidR="00216D79" w:rsidRPr="00331929" w:rsidRDefault="00216D79" w:rsidP="00B8358C">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rPr>
            </w:pPr>
            <w:r w:rsidRPr="00331929">
              <w:rPr>
                <w:rFonts w:ascii="Times New Roman" w:eastAsiaTheme="minorEastAsia" w:hAnsi="Times New Roman" w:cs="Times New Roman"/>
                <w:color w:val="auto"/>
                <w:sz w:val="18"/>
                <w:szCs w:val="18"/>
                <w:lang w:val="es-ES"/>
              </w:rPr>
              <w:t>730.764,2</w:t>
            </w:r>
            <w:r w:rsidR="00A83C8A" w:rsidRPr="00331929">
              <w:rPr>
                <w:rFonts w:ascii="Times New Roman" w:eastAsiaTheme="minorEastAsia" w:hAnsi="Times New Roman" w:cs="Times New Roman"/>
                <w:color w:val="auto"/>
                <w:sz w:val="18"/>
                <w:szCs w:val="18"/>
                <w:lang w:val="es-ES"/>
              </w:rPr>
              <w:t>0</w:t>
            </w:r>
          </w:p>
        </w:tc>
        <w:tc>
          <w:tcPr>
            <w:tcW w:w="538" w:type="pct"/>
            <w:tcBorders>
              <w:top w:val="none" w:sz="0" w:space="0" w:color="auto"/>
              <w:left w:val="none" w:sz="0" w:space="0" w:color="auto"/>
              <w:bottom w:val="none" w:sz="0" w:space="0" w:color="auto"/>
              <w:right w:val="none" w:sz="0" w:space="0" w:color="auto"/>
            </w:tcBorders>
            <w:shd w:val="clear" w:color="auto" w:fill="DEEAF6" w:themeFill="accent1" w:themeFillTint="33"/>
          </w:tcPr>
          <w:p w14:paraId="40E2CFF4" w14:textId="77777777" w:rsidR="00216D79" w:rsidRPr="00331929" w:rsidRDefault="00216D79" w:rsidP="00B8358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s-AR"/>
              </w:rPr>
            </w:pPr>
            <w:r w:rsidRPr="00331929">
              <w:rPr>
                <w:rFonts w:ascii="Times New Roman" w:hAnsi="Times New Roman" w:cs="Times New Roman"/>
                <w:color w:val="auto"/>
                <w:sz w:val="18"/>
                <w:szCs w:val="18"/>
                <w:lang w:val="es-AR"/>
              </w:rPr>
              <w:t>17,11</w:t>
            </w:r>
          </w:p>
        </w:tc>
        <w:tc>
          <w:tcPr>
            <w:tcW w:w="769" w:type="pct"/>
            <w:tcBorders>
              <w:top w:val="none" w:sz="0" w:space="0" w:color="auto"/>
              <w:left w:val="none" w:sz="0" w:space="0" w:color="auto"/>
              <w:bottom w:val="none" w:sz="0" w:space="0" w:color="auto"/>
              <w:right w:val="none" w:sz="0" w:space="0" w:color="auto"/>
            </w:tcBorders>
            <w:shd w:val="clear" w:color="auto" w:fill="DEEAF6" w:themeFill="accent1" w:themeFillTint="33"/>
          </w:tcPr>
          <w:p w14:paraId="58508DF8" w14:textId="77777777" w:rsidR="00216D79" w:rsidRPr="00331929" w:rsidRDefault="00216D79" w:rsidP="00B8358C">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rPr>
            </w:pPr>
            <w:r w:rsidRPr="00331929">
              <w:rPr>
                <w:rFonts w:ascii="Times New Roman" w:hAnsi="Times New Roman" w:cs="Times New Roman"/>
                <w:color w:val="auto"/>
                <w:sz w:val="18"/>
                <w:szCs w:val="18"/>
                <w:lang w:val="es-AR"/>
              </w:rPr>
              <w:t>1.139.048,7</w:t>
            </w:r>
            <w:r w:rsidR="00A83C8A" w:rsidRPr="00331929">
              <w:rPr>
                <w:rFonts w:ascii="Times New Roman" w:hAnsi="Times New Roman" w:cs="Times New Roman"/>
                <w:color w:val="auto"/>
                <w:sz w:val="18"/>
                <w:szCs w:val="18"/>
                <w:lang w:val="es-AR"/>
              </w:rPr>
              <w:t>0</w:t>
            </w:r>
          </w:p>
        </w:tc>
        <w:tc>
          <w:tcPr>
            <w:tcW w:w="540" w:type="pct"/>
            <w:tcBorders>
              <w:top w:val="none" w:sz="0" w:space="0" w:color="auto"/>
              <w:left w:val="none" w:sz="0" w:space="0" w:color="auto"/>
              <w:bottom w:val="none" w:sz="0" w:space="0" w:color="auto"/>
              <w:right w:val="none" w:sz="0" w:space="0" w:color="auto"/>
            </w:tcBorders>
            <w:shd w:val="clear" w:color="auto" w:fill="DEEAF6" w:themeFill="accent1" w:themeFillTint="33"/>
          </w:tcPr>
          <w:p w14:paraId="25634421" w14:textId="77777777" w:rsidR="00216D79" w:rsidRPr="00331929" w:rsidRDefault="00216D79" w:rsidP="00B8358C">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rPr>
            </w:pPr>
            <w:r w:rsidRPr="00331929">
              <w:rPr>
                <w:rFonts w:ascii="Times New Roman" w:eastAsiaTheme="minorEastAsia" w:hAnsi="Times New Roman" w:cs="Times New Roman"/>
                <w:color w:val="auto"/>
                <w:sz w:val="18"/>
                <w:szCs w:val="18"/>
              </w:rPr>
              <w:t>25,42</w:t>
            </w:r>
          </w:p>
        </w:tc>
        <w:tc>
          <w:tcPr>
            <w:tcW w:w="733" w:type="pct"/>
            <w:tcBorders>
              <w:top w:val="none" w:sz="0" w:space="0" w:color="auto"/>
              <w:left w:val="none" w:sz="0" w:space="0" w:color="auto"/>
              <w:bottom w:val="none" w:sz="0" w:space="0" w:color="auto"/>
              <w:right w:val="none" w:sz="0" w:space="0" w:color="auto"/>
            </w:tcBorders>
            <w:shd w:val="clear" w:color="auto" w:fill="DEEAF6" w:themeFill="accent1" w:themeFillTint="33"/>
          </w:tcPr>
          <w:p w14:paraId="6C396214" w14:textId="77777777" w:rsidR="00216D79" w:rsidRPr="00331929" w:rsidRDefault="00216D79" w:rsidP="00B8358C">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rPr>
            </w:pPr>
            <w:r w:rsidRPr="00331929">
              <w:rPr>
                <w:rFonts w:ascii="Times New Roman" w:eastAsiaTheme="minorEastAsia" w:hAnsi="Times New Roman" w:cs="Times New Roman"/>
                <w:color w:val="auto"/>
                <w:sz w:val="18"/>
                <w:szCs w:val="18"/>
              </w:rPr>
              <w:t>408.284,5</w:t>
            </w:r>
            <w:r w:rsidR="00A83C8A" w:rsidRPr="00331929">
              <w:rPr>
                <w:rFonts w:ascii="Times New Roman" w:eastAsiaTheme="minorEastAsia" w:hAnsi="Times New Roman" w:cs="Times New Roman"/>
                <w:color w:val="auto"/>
                <w:sz w:val="18"/>
                <w:szCs w:val="18"/>
              </w:rPr>
              <w:t>0</w:t>
            </w:r>
          </w:p>
        </w:tc>
        <w:tc>
          <w:tcPr>
            <w:tcW w:w="422" w:type="pct"/>
            <w:tcBorders>
              <w:top w:val="none" w:sz="0" w:space="0" w:color="auto"/>
              <w:left w:val="none" w:sz="0" w:space="0" w:color="auto"/>
              <w:bottom w:val="none" w:sz="0" w:space="0" w:color="auto"/>
            </w:tcBorders>
            <w:shd w:val="clear" w:color="auto" w:fill="DEEAF6" w:themeFill="accent1" w:themeFillTint="33"/>
          </w:tcPr>
          <w:p w14:paraId="70748D07" w14:textId="77777777" w:rsidR="00216D79" w:rsidRPr="00331929" w:rsidRDefault="00A83C8A" w:rsidP="00B8358C">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rPr>
            </w:pPr>
            <w:r w:rsidRPr="00331929">
              <w:rPr>
                <w:rFonts w:ascii="Times New Roman" w:eastAsiaTheme="minorEastAsia" w:hAnsi="Times New Roman" w:cs="Times New Roman"/>
                <w:color w:val="auto"/>
                <w:sz w:val="18"/>
                <w:szCs w:val="18"/>
              </w:rPr>
              <w:t>55,87</w:t>
            </w:r>
          </w:p>
        </w:tc>
      </w:tr>
    </w:tbl>
    <w:p w14:paraId="0D90DA31" w14:textId="77777777" w:rsidR="00EB615A" w:rsidRPr="00331929" w:rsidRDefault="00607131" w:rsidP="006803AD">
      <w:pPr>
        <w:jc w:val="center"/>
        <w:rPr>
          <w:rFonts w:ascii="Times New Roman" w:hAnsi="Times New Roman" w:cs="Times New Roman"/>
          <w:sz w:val="20"/>
          <w:szCs w:val="20"/>
          <w:lang w:val="es-AR"/>
        </w:rPr>
      </w:pPr>
      <w:r w:rsidRPr="00331929">
        <w:rPr>
          <w:rFonts w:ascii="Times New Roman" w:hAnsi="Times New Roman" w:cs="Times New Roman"/>
          <w:sz w:val="20"/>
          <w:szCs w:val="20"/>
          <w:lang w:val="es-AR"/>
        </w:rPr>
        <w:t>Fuente: Elaboración</w:t>
      </w:r>
      <w:r w:rsidR="00710BD9" w:rsidRPr="00331929">
        <w:rPr>
          <w:rFonts w:ascii="Times New Roman" w:hAnsi="Times New Roman" w:cs="Times New Roman"/>
          <w:sz w:val="20"/>
          <w:szCs w:val="20"/>
          <w:lang w:val="es-AR"/>
        </w:rPr>
        <w:t xml:space="preserve"> </w:t>
      </w:r>
      <w:r w:rsidR="00004B20" w:rsidRPr="00331929">
        <w:rPr>
          <w:rFonts w:ascii="Times New Roman" w:hAnsi="Times New Roman" w:cs="Times New Roman"/>
          <w:sz w:val="20"/>
          <w:szCs w:val="20"/>
          <w:lang w:val="es-AR"/>
        </w:rPr>
        <w:t>propia en</w:t>
      </w:r>
      <w:r w:rsidRPr="00331929">
        <w:rPr>
          <w:rFonts w:ascii="Times New Roman" w:hAnsi="Times New Roman" w:cs="Times New Roman"/>
          <w:sz w:val="20"/>
          <w:szCs w:val="20"/>
          <w:lang w:val="es-AR"/>
        </w:rPr>
        <w:t xml:space="preserve"> base a INDEC CNA-18 (res</w:t>
      </w:r>
      <w:r w:rsidR="008E51CB" w:rsidRPr="00331929">
        <w:rPr>
          <w:rFonts w:ascii="Times New Roman" w:hAnsi="Times New Roman" w:cs="Times New Roman"/>
          <w:sz w:val="20"/>
          <w:szCs w:val="20"/>
          <w:lang w:val="es-AR"/>
        </w:rPr>
        <w:t xml:space="preserve">ultados </w:t>
      </w:r>
      <w:r w:rsidRPr="00331929">
        <w:rPr>
          <w:rFonts w:ascii="Times New Roman" w:hAnsi="Times New Roman" w:cs="Times New Roman"/>
          <w:sz w:val="20"/>
          <w:szCs w:val="20"/>
          <w:lang w:val="es-AR"/>
        </w:rPr>
        <w:t>preliminares) y CNA-02.</w:t>
      </w:r>
    </w:p>
    <w:p w14:paraId="090F430D" w14:textId="0267D443" w:rsidR="00FB3FD2" w:rsidRPr="00331929" w:rsidRDefault="00083BD1" w:rsidP="00AC03A4">
      <w:pPr>
        <w:spacing w:after="0"/>
        <w:ind w:firstLine="720"/>
        <w:jc w:val="both"/>
        <w:rPr>
          <w:rFonts w:ascii="Times New Roman" w:hAnsi="Times New Roman" w:cs="Times New Roman"/>
          <w:lang w:val="es-AR"/>
        </w:rPr>
      </w:pPr>
      <w:r w:rsidRPr="00331929">
        <w:rPr>
          <w:rFonts w:ascii="Times New Roman" w:hAnsi="Times New Roman" w:cs="Times New Roman"/>
          <w:lang w:val="es-AR"/>
        </w:rPr>
        <w:t>Una característica significativa de la estructura agraria d</w:t>
      </w:r>
      <w:r w:rsidR="005B262E" w:rsidRPr="00331929">
        <w:rPr>
          <w:rFonts w:ascii="Times New Roman" w:hAnsi="Times New Roman" w:cs="Times New Roman"/>
          <w:lang w:val="es-AR"/>
        </w:rPr>
        <w:t xml:space="preserve">e Salta es la alta presencia </w:t>
      </w:r>
      <w:r w:rsidRPr="00331929">
        <w:rPr>
          <w:rFonts w:ascii="Times New Roman" w:hAnsi="Times New Roman" w:cs="Times New Roman"/>
          <w:lang w:val="es-AR"/>
        </w:rPr>
        <w:t>de EAPs</w:t>
      </w:r>
      <w:r w:rsidRPr="00331929">
        <w:rPr>
          <w:rFonts w:ascii="Times New Roman" w:hAnsi="Times New Roman" w:cs="Times New Roman"/>
          <w:sz w:val="20"/>
          <w:szCs w:val="20"/>
          <w:lang w:val="es-AR"/>
        </w:rPr>
        <w:t xml:space="preserve"> </w:t>
      </w:r>
      <w:r w:rsidR="00FB3FD2" w:rsidRPr="00331929">
        <w:rPr>
          <w:rFonts w:ascii="Times New Roman" w:hAnsi="Times New Roman" w:cs="Times New Roman"/>
          <w:sz w:val="23"/>
          <w:szCs w:val="23"/>
          <w:lang w:val="es-AR"/>
        </w:rPr>
        <w:t xml:space="preserve">en la categoría </w:t>
      </w:r>
      <w:r w:rsidR="00FB3FD2" w:rsidRPr="00331929">
        <w:rPr>
          <w:rFonts w:ascii="Times New Roman" w:hAnsi="Times New Roman" w:cs="Times New Roman"/>
          <w:i/>
          <w:iCs/>
          <w:sz w:val="23"/>
          <w:szCs w:val="23"/>
          <w:lang w:val="es-AR"/>
        </w:rPr>
        <w:t>sin límites definidos</w:t>
      </w:r>
      <w:r w:rsidRPr="00331929">
        <w:rPr>
          <w:rFonts w:ascii="Times New Roman" w:hAnsi="Times New Roman" w:cs="Times New Roman"/>
          <w:sz w:val="23"/>
          <w:szCs w:val="23"/>
          <w:lang w:val="es-AR"/>
        </w:rPr>
        <w:t xml:space="preserve">, </w:t>
      </w:r>
      <w:r w:rsidR="00FB3FD2" w:rsidRPr="00331929">
        <w:rPr>
          <w:rFonts w:ascii="Times New Roman" w:hAnsi="Times New Roman" w:cs="Times New Roman"/>
          <w:sz w:val="23"/>
          <w:szCs w:val="23"/>
          <w:lang w:val="es-AR"/>
        </w:rPr>
        <w:t>lo cual constituye un indicador de tenencia precaria de la misma, puesto que</w:t>
      </w:r>
      <w:r w:rsidR="00AC0523">
        <w:rPr>
          <w:rFonts w:ascii="Times New Roman" w:hAnsi="Times New Roman" w:cs="Times New Roman"/>
          <w:sz w:val="23"/>
          <w:szCs w:val="23"/>
          <w:lang w:val="es-AR"/>
        </w:rPr>
        <w:t>,</w:t>
      </w:r>
      <w:r w:rsidR="00FB3FD2" w:rsidRPr="00331929">
        <w:rPr>
          <w:rFonts w:ascii="Times New Roman" w:hAnsi="Times New Roman" w:cs="Times New Roman"/>
          <w:sz w:val="23"/>
          <w:szCs w:val="23"/>
          <w:lang w:val="es-AR"/>
        </w:rPr>
        <w:t xml:space="preserve"> para que exista un título de propiedad, se deben establecer </w:t>
      </w:r>
      <w:r w:rsidR="00F55CD3" w:rsidRPr="00331929">
        <w:rPr>
          <w:rFonts w:ascii="Times New Roman" w:hAnsi="Times New Roman" w:cs="Times New Roman"/>
          <w:sz w:val="23"/>
          <w:szCs w:val="23"/>
          <w:lang w:val="es-AR"/>
        </w:rPr>
        <w:t>los límites mensurados. No obstante</w:t>
      </w:r>
      <w:r w:rsidR="00FB3FD2" w:rsidRPr="00331929">
        <w:rPr>
          <w:rFonts w:ascii="Times New Roman" w:hAnsi="Times New Roman" w:cs="Times New Roman"/>
          <w:sz w:val="23"/>
          <w:szCs w:val="23"/>
          <w:lang w:val="es-AR"/>
        </w:rPr>
        <w:t xml:space="preserve"> lo anterior, la problemática se agrava con la existencia de gran cantidad de situaciones irregulares de ten</w:t>
      </w:r>
      <w:r w:rsidR="00FF7B19" w:rsidRPr="00331929">
        <w:rPr>
          <w:rFonts w:ascii="Times New Roman" w:hAnsi="Times New Roman" w:cs="Times New Roman"/>
          <w:sz w:val="23"/>
          <w:szCs w:val="23"/>
          <w:lang w:val="es-AR"/>
        </w:rPr>
        <w:t>encia, tales como la presencia</w:t>
      </w:r>
      <w:r w:rsidR="00FB3FD2" w:rsidRPr="00331929">
        <w:rPr>
          <w:rFonts w:ascii="Times New Roman" w:hAnsi="Times New Roman" w:cs="Times New Roman"/>
          <w:sz w:val="23"/>
          <w:szCs w:val="23"/>
          <w:lang w:val="es-AR"/>
        </w:rPr>
        <w:t xml:space="preserve"> de campos comuneros o</w:t>
      </w:r>
      <w:r w:rsidR="00DF33CB" w:rsidRPr="00331929">
        <w:rPr>
          <w:rFonts w:ascii="Times New Roman" w:hAnsi="Times New Roman" w:cs="Times New Roman"/>
          <w:sz w:val="23"/>
          <w:szCs w:val="23"/>
          <w:lang w:val="es-AR"/>
        </w:rPr>
        <w:t>torgados por la corona española</w:t>
      </w:r>
      <w:r w:rsidR="00FB3FD2" w:rsidRPr="00331929">
        <w:rPr>
          <w:rFonts w:ascii="Times New Roman" w:hAnsi="Times New Roman" w:cs="Times New Roman"/>
          <w:sz w:val="23"/>
          <w:szCs w:val="23"/>
          <w:lang w:val="es-AR"/>
        </w:rPr>
        <w:t xml:space="preserve"> con delimitación imprecisa; la presencia de comunidades indígenas, así como de parques o reservas nacionales, tierras fiscales y tierras</w:t>
      </w:r>
      <w:r w:rsidRPr="00331929">
        <w:rPr>
          <w:rFonts w:ascii="Times New Roman" w:hAnsi="Times New Roman" w:cs="Times New Roman"/>
          <w:sz w:val="23"/>
          <w:szCs w:val="23"/>
          <w:lang w:val="es-AR"/>
        </w:rPr>
        <w:t xml:space="preserve"> privadas sin límites definidos.</w:t>
      </w:r>
    </w:p>
    <w:p w14:paraId="298BF482" w14:textId="3A47FC00" w:rsidR="005E3037" w:rsidRPr="00331929" w:rsidRDefault="00EB615A" w:rsidP="00AC03A4">
      <w:pPr>
        <w:spacing w:after="0"/>
        <w:ind w:firstLine="720"/>
        <w:jc w:val="both"/>
        <w:rPr>
          <w:rFonts w:ascii="Times New Roman" w:hAnsi="Times New Roman" w:cs="Times New Roman"/>
          <w:lang w:val="es-AR"/>
        </w:rPr>
      </w:pPr>
      <w:r w:rsidRPr="00331929">
        <w:rPr>
          <w:rFonts w:ascii="Times New Roman" w:hAnsi="Times New Roman" w:cs="Times New Roman"/>
          <w:lang w:val="es-AR"/>
        </w:rPr>
        <w:t>Considerando la totalidad de las EAP</w:t>
      </w:r>
      <w:r w:rsidR="00F55CD3" w:rsidRPr="00331929">
        <w:rPr>
          <w:rFonts w:ascii="Times New Roman" w:hAnsi="Times New Roman" w:cs="Times New Roman"/>
          <w:lang w:val="es-AR"/>
        </w:rPr>
        <w:t>s</w:t>
      </w:r>
      <w:r w:rsidRPr="00331929">
        <w:rPr>
          <w:rFonts w:ascii="Times New Roman" w:hAnsi="Times New Roman" w:cs="Times New Roman"/>
          <w:lang w:val="es-AR"/>
        </w:rPr>
        <w:t xml:space="preserve"> censadas (con y sin límites definidos) el CNA 2018 registró una disminución de 1</w:t>
      </w:r>
      <w:r w:rsidR="00FA35A4" w:rsidRPr="00331929">
        <w:rPr>
          <w:rFonts w:ascii="Times New Roman" w:hAnsi="Times New Roman" w:cs="Times New Roman"/>
          <w:lang w:val="es-AR"/>
        </w:rPr>
        <w:t>.</w:t>
      </w:r>
      <w:r w:rsidRPr="00331929">
        <w:rPr>
          <w:rFonts w:ascii="Times New Roman" w:hAnsi="Times New Roman" w:cs="Times New Roman"/>
          <w:lang w:val="es-AR"/>
        </w:rPr>
        <w:t>540 unidades</w:t>
      </w:r>
      <w:r w:rsidR="00F55CD3" w:rsidRPr="00331929">
        <w:rPr>
          <w:rFonts w:ascii="Times New Roman" w:hAnsi="Times New Roman" w:cs="Times New Roman"/>
          <w:lang w:val="es-AR"/>
        </w:rPr>
        <w:t>, (una reducción del 14,9%)</w:t>
      </w:r>
      <w:r w:rsidRPr="00331929">
        <w:rPr>
          <w:rFonts w:ascii="Times New Roman" w:hAnsi="Times New Roman" w:cs="Times New Roman"/>
          <w:lang w:val="es-AR"/>
        </w:rPr>
        <w:t>. Las unidades con límites definido</w:t>
      </w:r>
      <w:r w:rsidR="00F55CD3" w:rsidRPr="00331929">
        <w:rPr>
          <w:rFonts w:ascii="Times New Roman" w:hAnsi="Times New Roman" w:cs="Times New Roman"/>
          <w:lang w:val="es-AR"/>
        </w:rPr>
        <w:t>s tuvieron un incremento del 4,</w:t>
      </w:r>
      <w:r w:rsidRPr="00331929">
        <w:rPr>
          <w:rFonts w:ascii="Times New Roman" w:hAnsi="Times New Roman" w:cs="Times New Roman"/>
          <w:lang w:val="es-AR"/>
        </w:rPr>
        <w:t>8</w:t>
      </w:r>
      <w:r w:rsidR="00F55CD3" w:rsidRPr="00331929">
        <w:rPr>
          <w:rFonts w:ascii="Times New Roman" w:hAnsi="Times New Roman" w:cs="Times New Roman"/>
          <w:lang w:val="es-AR"/>
        </w:rPr>
        <w:t>0</w:t>
      </w:r>
      <w:r w:rsidRPr="00331929">
        <w:rPr>
          <w:rFonts w:ascii="Times New Roman" w:hAnsi="Times New Roman" w:cs="Times New Roman"/>
          <w:lang w:val="es-AR"/>
        </w:rPr>
        <w:t xml:space="preserve"> %</w:t>
      </w:r>
      <w:r w:rsidR="00F55CD3" w:rsidRPr="00331929">
        <w:rPr>
          <w:rFonts w:ascii="Times New Roman" w:hAnsi="Times New Roman" w:cs="Times New Roman"/>
          <w:lang w:val="es-AR"/>
        </w:rPr>
        <w:t>,</w:t>
      </w:r>
      <w:r w:rsidRPr="00331929">
        <w:rPr>
          <w:rFonts w:ascii="Times New Roman" w:hAnsi="Times New Roman" w:cs="Times New Roman"/>
          <w:lang w:val="es-AR"/>
        </w:rPr>
        <w:t xml:space="preserve"> en tanto </w:t>
      </w:r>
      <w:r w:rsidR="005E3037" w:rsidRPr="00331929">
        <w:rPr>
          <w:rFonts w:ascii="Times New Roman" w:hAnsi="Times New Roman" w:cs="Times New Roman"/>
          <w:lang w:val="es-AR"/>
        </w:rPr>
        <w:t xml:space="preserve">que </w:t>
      </w:r>
      <w:r w:rsidR="00F55CD3" w:rsidRPr="00331929">
        <w:rPr>
          <w:rFonts w:ascii="Times New Roman" w:hAnsi="Times New Roman" w:cs="Times New Roman"/>
          <w:lang w:val="es-AR"/>
        </w:rPr>
        <w:t xml:space="preserve">las </w:t>
      </w:r>
      <w:r w:rsidR="005E3037" w:rsidRPr="00331929">
        <w:rPr>
          <w:rFonts w:ascii="Times New Roman" w:hAnsi="Times New Roman" w:cs="Times New Roman"/>
          <w:lang w:val="es-AR"/>
        </w:rPr>
        <w:t>EAP</w:t>
      </w:r>
      <w:r w:rsidR="00F55CD3" w:rsidRPr="00331929">
        <w:rPr>
          <w:rFonts w:ascii="Times New Roman" w:hAnsi="Times New Roman" w:cs="Times New Roman"/>
          <w:lang w:val="es-AR"/>
        </w:rPr>
        <w:t>s</w:t>
      </w:r>
      <w:r w:rsidRPr="00331929">
        <w:rPr>
          <w:rFonts w:ascii="Times New Roman" w:hAnsi="Times New Roman" w:cs="Times New Roman"/>
          <w:lang w:val="es-AR"/>
        </w:rPr>
        <w:t xml:space="preserve"> sin límites defin</w:t>
      </w:r>
      <w:r w:rsidR="00DF33CB" w:rsidRPr="00331929">
        <w:rPr>
          <w:rFonts w:ascii="Times New Roman" w:hAnsi="Times New Roman" w:cs="Times New Roman"/>
          <w:lang w:val="es-AR"/>
        </w:rPr>
        <w:t xml:space="preserve">idos, en muchos casos asociadas </w:t>
      </w:r>
      <w:r w:rsidRPr="00331929">
        <w:rPr>
          <w:rFonts w:ascii="Times New Roman" w:hAnsi="Times New Roman" w:cs="Times New Roman"/>
          <w:lang w:val="es-AR"/>
        </w:rPr>
        <w:t xml:space="preserve">con </w:t>
      </w:r>
      <w:r w:rsidR="00DF33CB" w:rsidRPr="00331929">
        <w:rPr>
          <w:rFonts w:ascii="Times New Roman" w:hAnsi="Times New Roman" w:cs="Times New Roman"/>
          <w:lang w:val="es-AR"/>
        </w:rPr>
        <w:t>la presencia de un</w:t>
      </w:r>
      <w:r w:rsidRPr="00331929">
        <w:rPr>
          <w:rFonts w:ascii="Times New Roman" w:hAnsi="Times New Roman" w:cs="Times New Roman"/>
          <w:lang w:val="es-AR"/>
        </w:rPr>
        <w:t xml:space="preserve"> campesinado tradicional y pueblos originarios (Paz, Rodríguez Sperat y Jara, 2018</w:t>
      </w:r>
      <w:r w:rsidR="00B8358C">
        <w:rPr>
          <w:rFonts w:ascii="Times New Roman" w:hAnsi="Times New Roman" w:cs="Times New Roman"/>
          <w:lang w:val="es-AR"/>
        </w:rPr>
        <w:t>),</w:t>
      </w:r>
      <w:r w:rsidRPr="00331929">
        <w:rPr>
          <w:rFonts w:ascii="Times New Roman" w:hAnsi="Times New Roman" w:cs="Times New Roman"/>
          <w:lang w:val="es-AR"/>
        </w:rPr>
        <w:t xml:space="preserve"> d</w:t>
      </w:r>
      <w:r w:rsidR="00B8358C">
        <w:rPr>
          <w:rFonts w:ascii="Times New Roman" w:hAnsi="Times New Roman" w:cs="Times New Roman"/>
          <w:lang w:val="es-AR"/>
        </w:rPr>
        <w:t xml:space="preserve">isminuyeron </w:t>
      </w:r>
      <w:r w:rsidR="00F55CD3" w:rsidRPr="00331929">
        <w:rPr>
          <w:rFonts w:ascii="Times New Roman" w:hAnsi="Times New Roman" w:cs="Times New Roman"/>
          <w:lang w:val="es-AR"/>
        </w:rPr>
        <w:t>un 38,28</w:t>
      </w:r>
      <w:r w:rsidRPr="00331929">
        <w:rPr>
          <w:rFonts w:ascii="Times New Roman" w:hAnsi="Times New Roman" w:cs="Times New Roman"/>
          <w:lang w:val="es-AR"/>
        </w:rPr>
        <w:t xml:space="preserve"> % durante el período intercensal. </w:t>
      </w:r>
      <w:r w:rsidR="00CD1BEF" w:rsidRPr="00331929">
        <w:rPr>
          <w:rFonts w:ascii="Times New Roman" w:hAnsi="Times New Roman" w:cs="Times New Roman"/>
          <w:lang w:val="es-AR"/>
        </w:rPr>
        <w:t xml:space="preserve">Este </w:t>
      </w:r>
      <w:r w:rsidR="00DF33CB" w:rsidRPr="00331929">
        <w:rPr>
          <w:rFonts w:ascii="Times New Roman" w:hAnsi="Times New Roman" w:cs="Times New Roman"/>
          <w:lang w:val="es-AR"/>
        </w:rPr>
        <w:t xml:space="preserve">último </w:t>
      </w:r>
      <w:r w:rsidR="00CD1BEF" w:rsidRPr="00331929">
        <w:rPr>
          <w:rFonts w:ascii="Times New Roman" w:hAnsi="Times New Roman" w:cs="Times New Roman"/>
          <w:lang w:val="es-AR"/>
        </w:rPr>
        <w:t>dato nos abre una serie de interrogant</w:t>
      </w:r>
      <w:r w:rsidR="00DF33CB" w:rsidRPr="00331929">
        <w:rPr>
          <w:rFonts w:ascii="Times New Roman" w:hAnsi="Times New Roman" w:cs="Times New Roman"/>
          <w:lang w:val="es-AR"/>
        </w:rPr>
        <w:t>es. N</w:t>
      </w:r>
      <w:r w:rsidR="00CD1BEF" w:rsidRPr="00331929">
        <w:rPr>
          <w:rFonts w:ascii="Times New Roman" w:hAnsi="Times New Roman" w:cs="Times New Roman"/>
          <w:lang w:val="es-AR"/>
        </w:rPr>
        <w:t xml:space="preserve">o </w:t>
      </w:r>
      <w:r w:rsidR="00DF33CB" w:rsidRPr="00331929">
        <w:rPr>
          <w:rFonts w:ascii="Times New Roman" w:hAnsi="Times New Roman" w:cs="Times New Roman"/>
          <w:lang w:val="es-AR"/>
        </w:rPr>
        <w:t>obstante</w:t>
      </w:r>
      <w:r w:rsidR="00CD1BEF" w:rsidRPr="00331929">
        <w:rPr>
          <w:rFonts w:ascii="Times New Roman" w:hAnsi="Times New Roman" w:cs="Times New Roman"/>
          <w:lang w:val="es-AR"/>
        </w:rPr>
        <w:t xml:space="preserve"> las transformaciones del sector agropecuario a partir de la expansión de</w:t>
      </w:r>
      <w:r w:rsidR="00DF33CB" w:rsidRPr="00331929">
        <w:rPr>
          <w:rFonts w:ascii="Times New Roman" w:hAnsi="Times New Roman" w:cs="Times New Roman"/>
          <w:lang w:val="es-AR"/>
        </w:rPr>
        <w:t xml:space="preserve"> la frontera agrícola</w:t>
      </w:r>
      <w:r w:rsidR="00CD1BEF" w:rsidRPr="00331929">
        <w:rPr>
          <w:rFonts w:ascii="Times New Roman" w:hAnsi="Times New Roman" w:cs="Times New Roman"/>
          <w:lang w:val="es-AR"/>
        </w:rPr>
        <w:t xml:space="preserve">, </w:t>
      </w:r>
      <w:r w:rsidRPr="00331929">
        <w:rPr>
          <w:rFonts w:ascii="Times New Roman" w:hAnsi="Times New Roman" w:cs="Times New Roman"/>
          <w:lang w:val="es-AR"/>
        </w:rPr>
        <w:t xml:space="preserve">no estamos en condiciones de afirmar </w:t>
      </w:r>
      <w:r w:rsidR="00CD1BEF" w:rsidRPr="00331929">
        <w:rPr>
          <w:rFonts w:ascii="Times New Roman" w:hAnsi="Times New Roman" w:cs="Times New Roman"/>
          <w:lang w:val="es-AR"/>
        </w:rPr>
        <w:t>la existencia de un proceso significativo de desaparición</w:t>
      </w:r>
      <w:r w:rsidRPr="00331929">
        <w:rPr>
          <w:rFonts w:ascii="Times New Roman" w:hAnsi="Times New Roman" w:cs="Times New Roman"/>
          <w:lang w:val="es-AR"/>
        </w:rPr>
        <w:t xml:space="preserve"> de est</w:t>
      </w:r>
      <w:r w:rsidR="005E3037" w:rsidRPr="00331929">
        <w:rPr>
          <w:rFonts w:ascii="Times New Roman" w:hAnsi="Times New Roman" w:cs="Times New Roman"/>
          <w:lang w:val="es-AR"/>
        </w:rPr>
        <w:t>e tipo de explotaciones, sino</w:t>
      </w:r>
      <w:r w:rsidRPr="00331929">
        <w:rPr>
          <w:rFonts w:ascii="Times New Roman" w:hAnsi="Times New Roman" w:cs="Times New Roman"/>
          <w:lang w:val="es-AR"/>
        </w:rPr>
        <w:t xml:space="preserve"> más bien de estar ante la presencia de </w:t>
      </w:r>
      <w:r w:rsidR="00CD1BEF" w:rsidRPr="00331929">
        <w:rPr>
          <w:rFonts w:ascii="Times New Roman" w:hAnsi="Times New Roman" w:cs="Times New Roman"/>
          <w:lang w:val="es-AR"/>
        </w:rPr>
        <w:t xml:space="preserve">algunas </w:t>
      </w:r>
      <w:r w:rsidRPr="00331929">
        <w:rPr>
          <w:rFonts w:ascii="Times New Roman" w:hAnsi="Times New Roman" w:cs="Times New Roman"/>
          <w:lang w:val="es-AR"/>
        </w:rPr>
        <w:t>anomalías o insuficiencias de los registros censales.</w:t>
      </w:r>
      <w:r w:rsidR="00675CAD" w:rsidRPr="00331929">
        <w:rPr>
          <w:rFonts w:ascii="Times New Roman" w:hAnsi="Times New Roman" w:cs="Times New Roman"/>
          <w:lang w:val="es-AR"/>
        </w:rPr>
        <w:t xml:space="preserve"> </w:t>
      </w:r>
      <w:r w:rsidR="00CD1BEF" w:rsidRPr="00331929">
        <w:rPr>
          <w:rFonts w:ascii="Times New Roman" w:hAnsi="Times New Roman" w:cs="Times New Roman"/>
          <w:lang w:val="es-AR"/>
        </w:rPr>
        <w:t xml:space="preserve">También </w:t>
      </w:r>
      <w:r w:rsidR="00675CAD" w:rsidRPr="00331929">
        <w:rPr>
          <w:rFonts w:ascii="Times New Roman" w:hAnsi="Times New Roman" w:cs="Times New Roman"/>
          <w:lang w:val="es-AR"/>
        </w:rPr>
        <w:t>cabe señalar</w:t>
      </w:r>
      <w:r w:rsidR="005B262E" w:rsidRPr="00331929">
        <w:rPr>
          <w:rFonts w:ascii="Times New Roman" w:hAnsi="Times New Roman" w:cs="Times New Roman"/>
          <w:lang w:val="es-AR"/>
        </w:rPr>
        <w:t xml:space="preserve"> como elemento explicativo de algún grado de </w:t>
      </w:r>
      <w:r w:rsidR="00F55CD3" w:rsidRPr="00331929">
        <w:rPr>
          <w:rFonts w:ascii="Times New Roman" w:hAnsi="Times New Roman" w:cs="Times New Roman"/>
          <w:lang w:val="es-AR"/>
        </w:rPr>
        <w:t>disminución de este tipo de EAPs</w:t>
      </w:r>
      <w:r w:rsidR="005B262E" w:rsidRPr="00331929">
        <w:rPr>
          <w:rFonts w:ascii="Times New Roman" w:hAnsi="Times New Roman" w:cs="Times New Roman"/>
          <w:lang w:val="es-AR"/>
        </w:rPr>
        <w:t xml:space="preserve">, </w:t>
      </w:r>
      <w:r w:rsidR="00675CAD" w:rsidRPr="00331929">
        <w:rPr>
          <w:rFonts w:ascii="Times New Roman" w:hAnsi="Times New Roman" w:cs="Times New Roman"/>
          <w:lang w:val="es-AR"/>
        </w:rPr>
        <w:t>la asunción de derechos por part</w:t>
      </w:r>
      <w:r w:rsidR="00F55CD3" w:rsidRPr="00331929">
        <w:rPr>
          <w:rFonts w:ascii="Times New Roman" w:hAnsi="Times New Roman" w:cs="Times New Roman"/>
          <w:lang w:val="es-AR"/>
        </w:rPr>
        <w:t xml:space="preserve">e de </w:t>
      </w:r>
      <w:r w:rsidR="007D55C4" w:rsidRPr="00331929">
        <w:rPr>
          <w:rFonts w:ascii="Times New Roman" w:hAnsi="Times New Roman" w:cs="Times New Roman"/>
          <w:lang w:val="es-AR"/>
        </w:rPr>
        <w:t xml:space="preserve">comunidades indígenas, quienes </w:t>
      </w:r>
      <w:r w:rsidR="00675CAD" w:rsidRPr="00331929">
        <w:rPr>
          <w:rFonts w:ascii="Times New Roman" w:hAnsi="Times New Roman" w:cs="Times New Roman"/>
          <w:lang w:val="es-AR"/>
        </w:rPr>
        <w:t xml:space="preserve">realizaron </w:t>
      </w:r>
      <w:r w:rsidR="00DF33CB" w:rsidRPr="00331929">
        <w:rPr>
          <w:rFonts w:ascii="Times New Roman" w:hAnsi="Times New Roman" w:cs="Times New Roman"/>
          <w:lang w:val="es-AR"/>
        </w:rPr>
        <w:t xml:space="preserve">en los últimos años </w:t>
      </w:r>
      <w:r w:rsidR="00675CAD" w:rsidRPr="00331929">
        <w:rPr>
          <w:rFonts w:ascii="Times New Roman" w:hAnsi="Times New Roman" w:cs="Times New Roman"/>
          <w:lang w:val="es-AR"/>
        </w:rPr>
        <w:t xml:space="preserve">un relevamiento de </w:t>
      </w:r>
      <w:r w:rsidR="00DF33CB" w:rsidRPr="00331929">
        <w:rPr>
          <w:rFonts w:ascii="Times New Roman" w:hAnsi="Times New Roman" w:cs="Times New Roman"/>
          <w:lang w:val="es-AR"/>
        </w:rPr>
        <w:t>los territorios que históricamente</w:t>
      </w:r>
      <w:r w:rsidR="00675CAD" w:rsidRPr="00331929">
        <w:rPr>
          <w:rFonts w:ascii="Times New Roman" w:hAnsi="Times New Roman" w:cs="Times New Roman"/>
          <w:lang w:val="es-AR"/>
        </w:rPr>
        <w:t xml:space="preserve"> ocupa</w:t>
      </w:r>
      <w:r w:rsidR="00DF33CB" w:rsidRPr="00331929">
        <w:rPr>
          <w:rFonts w:ascii="Times New Roman" w:hAnsi="Times New Roman" w:cs="Times New Roman"/>
          <w:lang w:val="es-AR"/>
        </w:rPr>
        <w:t xml:space="preserve">ban, los cuales </w:t>
      </w:r>
      <w:r w:rsidR="007D55C4" w:rsidRPr="00331929">
        <w:rPr>
          <w:rFonts w:ascii="Times New Roman" w:hAnsi="Times New Roman" w:cs="Times New Roman"/>
          <w:lang w:val="es-AR"/>
        </w:rPr>
        <w:t xml:space="preserve">fueran </w:t>
      </w:r>
      <w:r w:rsidR="00675CAD" w:rsidRPr="00331929">
        <w:rPr>
          <w:rFonts w:ascii="Times New Roman" w:hAnsi="Times New Roman" w:cs="Times New Roman"/>
          <w:lang w:val="es-AR"/>
        </w:rPr>
        <w:t xml:space="preserve">registrados como EAPs con </w:t>
      </w:r>
      <w:r w:rsidR="00F55CD3" w:rsidRPr="00331929">
        <w:rPr>
          <w:rFonts w:ascii="Times New Roman" w:hAnsi="Times New Roman" w:cs="Times New Roman"/>
          <w:lang w:val="es-AR"/>
        </w:rPr>
        <w:t>l</w:t>
      </w:r>
      <w:r w:rsidR="00675CAD" w:rsidRPr="00331929">
        <w:rPr>
          <w:rFonts w:ascii="Times New Roman" w:hAnsi="Times New Roman" w:cs="Times New Roman"/>
          <w:lang w:val="es-AR"/>
        </w:rPr>
        <w:t>imites definidos</w:t>
      </w:r>
      <w:r w:rsidR="007D55C4" w:rsidRPr="00331929">
        <w:rPr>
          <w:rFonts w:ascii="Times New Roman" w:hAnsi="Times New Roman" w:cs="Times New Roman"/>
          <w:lang w:val="es-AR"/>
        </w:rPr>
        <w:t>.</w:t>
      </w:r>
    </w:p>
    <w:p w14:paraId="792FEE33" w14:textId="3906098B" w:rsidR="00F55CD3" w:rsidRPr="00331929" w:rsidRDefault="00F55CD3" w:rsidP="00AC03A4">
      <w:pPr>
        <w:ind w:firstLine="720"/>
        <w:jc w:val="both"/>
        <w:rPr>
          <w:rFonts w:ascii="Times New Roman" w:hAnsi="Times New Roman" w:cs="Times New Roman"/>
          <w:lang w:val="es-AR"/>
        </w:rPr>
      </w:pPr>
      <w:r w:rsidRPr="00331929">
        <w:rPr>
          <w:rFonts w:ascii="Times New Roman" w:hAnsi="Times New Roman" w:cs="Times New Roman"/>
          <w:lang w:val="es-AR"/>
        </w:rPr>
        <w:lastRenderedPageBreak/>
        <w:t xml:space="preserve">Si analizamos la estructura agraria de Salta, de acuerdo </w:t>
      </w:r>
      <w:r w:rsidR="00B06497">
        <w:rPr>
          <w:rFonts w:ascii="Times New Roman" w:hAnsi="Times New Roman" w:cs="Times New Roman"/>
          <w:lang w:val="es-AR"/>
        </w:rPr>
        <w:t xml:space="preserve">con el </w:t>
      </w:r>
      <w:r w:rsidRPr="00331929">
        <w:rPr>
          <w:rFonts w:ascii="Times New Roman" w:hAnsi="Times New Roman" w:cs="Times New Roman"/>
          <w:lang w:val="es-AR"/>
        </w:rPr>
        <w:t>régimen de tenencia de la tierra, tenemos los siguientes resultados:</w:t>
      </w:r>
    </w:p>
    <w:p w14:paraId="3ED2059A" w14:textId="1F9F2EFB" w:rsidR="00607131" w:rsidRPr="00331929" w:rsidRDefault="00EB615A" w:rsidP="00E32357">
      <w:pPr>
        <w:ind w:left="142"/>
        <w:jc w:val="center"/>
        <w:rPr>
          <w:rFonts w:ascii="Times New Roman" w:hAnsi="Times New Roman" w:cs="Times New Roman"/>
          <w:b/>
          <w:lang w:val="es-AR"/>
        </w:rPr>
      </w:pPr>
      <w:r w:rsidRPr="00331929">
        <w:rPr>
          <w:rFonts w:ascii="Times New Roman" w:hAnsi="Times New Roman" w:cs="Times New Roman"/>
          <w:b/>
          <w:lang w:val="es-AR"/>
        </w:rPr>
        <w:t xml:space="preserve">Cuadro </w:t>
      </w:r>
      <w:r w:rsidR="00996816">
        <w:rPr>
          <w:rFonts w:ascii="Times New Roman" w:hAnsi="Times New Roman" w:cs="Times New Roman"/>
          <w:b/>
          <w:lang w:val="es-AR"/>
        </w:rPr>
        <w:t>N°</w:t>
      </w:r>
      <w:r w:rsidR="00753CD5" w:rsidRPr="00331929">
        <w:rPr>
          <w:rFonts w:ascii="Times New Roman" w:hAnsi="Times New Roman" w:cs="Times New Roman"/>
          <w:b/>
          <w:lang w:val="es-AR"/>
        </w:rPr>
        <w:t>2</w:t>
      </w:r>
      <w:r w:rsidR="00996816">
        <w:rPr>
          <w:rFonts w:ascii="Times New Roman" w:hAnsi="Times New Roman" w:cs="Times New Roman"/>
          <w:b/>
          <w:lang w:val="es-AR"/>
        </w:rPr>
        <w:t>:</w:t>
      </w:r>
      <w:r w:rsidRPr="00331929">
        <w:rPr>
          <w:rFonts w:ascii="Times New Roman" w:hAnsi="Times New Roman" w:cs="Times New Roman"/>
          <w:b/>
          <w:lang w:val="es-AR"/>
        </w:rPr>
        <w:t xml:space="preserve"> </w:t>
      </w:r>
      <w:r w:rsidR="000408B9" w:rsidRPr="00331929">
        <w:rPr>
          <w:rFonts w:ascii="Times New Roman" w:hAnsi="Times New Roman" w:cs="Times New Roman"/>
          <w:b/>
          <w:lang w:val="es-AR"/>
        </w:rPr>
        <w:t>Superficie cens</w:t>
      </w:r>
      <w:r w:rsidR="00E32357">
        <w:rPr>
          <w:rFonts w:ascii="Times New Roman" w:hAnsi="Times New Roman" w:cs="Times New Roman"/>
          <w:b/>
          <w:lang w:val="es-AR"/>
        </w:rPr>
        <w:t>ada según régimen de tenencia (h</w:t>
      </w:r>
      <w:r w:rsidR="000408B9" w:rsidRPr="00331929">
        <w:rPr>
          <w:rFonts w:ascii="Times New Roman" w:hAnsi="Times New Roman" w:cs="Times New Roman"/>
          <w:b/>
          <w:lang w:val="es-AR"/>
        </w:rPr>
        <w:t>as)</w:t>
      </w:r>
    </w:p>
    <w:tbl>
      <w:tblPr>
        <w:tblStyle w:val="Listamedia2-nfasis1"/>
        <w:tblW w:w="46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1757"/>
        <w:gridCol w:w="1560"/>
        <w:gridCol w:w="1561"/>
        <w:gridCol w:w="982"/>
      </w:tblGrid>
      <w:tr w:rsidR="00F55CD3" w:rsidRPr="00331929" w14:paraId="1EC12BDC" w14:textId="77777777" w:rsidTr="006803AD">
        <w:trPr>
          <w:cnfStyle w:val="100000000000" w:firstRow="1" w:lastRow="0" w:firstColumn="0" w:lastColumn="0" w:oddVBand="0" w:evenVBand="0" w:oddHBand="0" w:evenHBand="0" w:firstRowFirstColumn="0" w:firstRowLastColumn="0" w:lastRowFirstColumn="0" w:lastRowLastColumn="0"/>
          <w:trHeight w:val="296"/>
          <w:jc w:val="center"/>
        </w:trPr>
        <w:tc>
          <w:tcPr>
            <w:cnfStyle w:val="001000000100" w:firstRow="0" w:lastRow="0" w:firstColumn="1" w:lastColumn="0" w:oddVBand="0" w:evenVBand="0" w:oddHBand="0" w:evenHBand="0" w:firstRowFirstColumn="1" w:firstRowLastColumn="0" w:lastRowFirstColumn="0" w:lastRowLastColumn="0"/>
            <w:tcW w:w="1431" w:type="pct"/>
            <w:tcBorders>
              <w:top w:val="none" w:sz="0" w:space="0" w:color="auto"/>
              <w:left w:val="none" w:sz="0" w:space="0" w:color="auto"/>
              <w:bottom w:val="none" w:sz="0" w:space="0" w:color="auto"/>
              <w:right w:val="none" w:sz="0" w:space="0" w:color="auto"/>
            </w:tcBorders>
            <w:noWrap/>
          </w:tcPr>
          <w:p w14:paraId="1A2DAE27" w14:textId="77777777" w:rsidR="00F55CD3" w:rsidRPr="00331929" w:rsidRDefault="00F55CD3" w:rsidP="008D0E77">
            <w:pPr>
              <w:jc w:val="center"/>
              <w:rPr>
                <w:rFonts w:ascii="Times New Roman" w:eastAsiaTheme="minorEastAsia" w:hAnsi="Times New Roman" w:cs="Times New Roman"/>
                <w:b/>
                <w:color w:val="auto"/>
                <w:sz w:val="18"/>
                <w:szCs w:val="18"/>
                <w:lang w:val="es-AR"/>
              </w:rPr>
            </w:pPr>
          </w:p>
        </w:tc>
        <w:tc>
          <w:tcPr>
            <w:tcW w:w="1070" w:type="pct"/>
            <w:tcBorders>
              <w:top w:val="none" w:sz="0" w:space="0" w:color="auto"/>
              <w:left w:val="none" w:sz="0" w:space="0" w:color="auto"/>
              <w:bottom w:val="none" w:sz="0" w:space="0" w:color="auto"/>
              <w:right w:val="none" w:sz="0" w:space="0" w:color="auto"/>
            </w:tcBorders>
          </w:tcPr>
          <w:p w14:paraId="657ED366" w14:textId="77777777" w:rsidR="00F55CD3" w:rsidRPr="00331929" w:rsidRDefault="00F55CD3" w:rsidP="008D0E7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18"/>
                <w:szCs w:val="18"/>
              </w:rPr>
            </w:pPr>
            <w:r w:rsidRPr="00331929">
              <w:rPr>
                <w:rFonts w:ascii="Times New Roman" w:eastAsiaTheme="minorEastAsia" w:hAnsi="Times New Roman" w:cs="Times New Roman"/>
                <w:b/>
                <w:color w:val="auto"/>
                <w:sz w:val="18"/>
                <w:szCs w:val="18"/>
                <w:lang w:val="es-ES"/>
              </w:rPr>
              <w:t>CNA 02</w:t>
            </w:r>
          </w:p>
        </w:tc>
        <w:tc>
          <w:tcPr>
            <w:tcW w:w="950" w:type="pct"/>
            <w:tcBorders>
              <w:top w:val="none" w:sz="0" w:space="0" w:color="auto"/>
              <w:left w:val="none" w:sz="0" w:space="0" w:color="auto"/>
              <w:bottom w:val="none" w:sz="0" w:space="0" w:color="auto"/>
              <w:right w:val="none" w:sz="0" w:space="0" w:color="auto"/>
            </w:tcBorders>
          </w:tcPr>
          <w:p w14:paraId="4D80E9F6" w14:textId="77777777" w:rsidR="00F55CD3" w:rsidRPr="00331929" w:rsidRDefault="00F55CD3" w:rsidP="008D0E7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18"/>
                <w:szCs w:val="18"/>
              </w:rPr>
            </w:pPr>
            <w:r w:rsidRPr="00331929">
              <w:rPr>
                <w:rFonts w:ascii="Times New Roman" w:eastAsiaTheme="minorEastAsia" w:hAnsi="Times New Roman" w:cs="Times New Roman"/>
                <w:b/>
                <w:color w:val="auto"/>
                <w:sz w:val="18"/>
                <w:szCs w:val="18"/>
              </w:rPr>
              <w:t>CAN 18</w:t>
            </w:r>
          </w:p>
        </w:tc>
        <w:tc>
          <w:tcPr>
            <w:tcW w:w="951" w:type="pct"/>
            <w:tcBorders>
              <w:top w:val="none" w:sz="0" w:space="0" w:color="auto"/>
              <w:left w:val="none" w:sz="0" w:space="0" w:color="auto"/>
              <w:bottom w:val="none" w:sz="0" w:space="0" w:color="auto"/>
              <w:right w:val="none" w:sz="0" w:space="0" w:color="auto"/>
            </w:tcBorders>
          </w:tcPr>
          <w:p w14:paraId="659C7083" w14:textId="77777777" w:rsidR="00F55CD3" w:rsidRPr="00331929" w:rsidRDefault="00F55CD3" w:rsidP="008D0E7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18"/>
                <w:szCs w:val="18"/>
              </w:rPr>
            </w:pPr>
            <w:r w:rsidRPr="00331929">
              <w:rPr>
                <w:rFonts w:ascii="Times New Roman" w:eastAsiaTheme="minorEastAsia" w:hAnsi="Times New Roman" w:cs="Times New Roman"/>
                <w:b/>
                <w:color w:val="auto"/>
                <w:sz w:val="18"/>
                <w:szCs w:val="18"/>
                <w:lang w:val="es-ES"/>
              </w:rPr>
              <w:t>Diferencia</w:t>
            </w:r>
          </w:p>
        </w:tc>
        <w:tc>
          <w:tcPr>
            <w:tcW w:w="598" w:type="pct"/>
            <w:tcBorders>
              <w:top w:val="none" w:sz="0" w:space="0" w:color="auto"/>
              <w:left w:val="none" w:sz="0" w:space="0" w:color="auto"/>
              <w:bottom w:val="none" w:sz="0" w:space="0" w:color="auto"/>
              <w:right w:val="none" w:sz="0" w:space="0" w:color="auto"/>
            </w:tcBorders>
          </w:tcPr>
          <w:p w14:paraId="3D952BE1" w14:textId="77777777" w:rsidR="00F55CD3" w:rsidRPr="00331929" w:rsidRDefault="00F55CD3" w:rsidP="008D0E7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18"/>
                <w:szCs w:val="18"/>
              </w:rPr>
            </w:pPr>
            <w:r w:rsidRPr="00331929">
              <w:rPr>
                <w:rFonts w:ascii="Times New Roman" w:eastAsiaTheme="minorEastAsia" w:hAnsi="Times New Roman" w:cs="Times New Roman"/>
                <w:b/>
                <w:color w:val="auto"/>
                <w:sz w:val="18"/>
                <w:szCs w:val="18"/>
              </w:rPr>
              <w:t>%</w:t>
            </w:r>
          </w:p>
        </w:tc>
      </w:tr>
      <w:tr w:rsidR="00331929" w:rsidRPr="00331929" w14:paraId="0D8A5D60" w14:textId="77777777" w:rsidTr="006803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1" w:type="pct"/>
            <w:tcBorders>
              <w:top w:val="none" w:sz="0" w:space="0" w:color="auto"/>
              <w:left w:val="none" w:sz="0" w:space="0" w:color="auto"/>
              <w:bottom w:val="none" w:sz="0" w:space="0" w:color="auto"/>
              <w:right w:val="none" w:sz="0" w:space="0" w:color="auto"/>
            </w:tcBorders>
            <w:shd w:val="clear" w:color="auto" w:fill="DEEAF6" w:themeFill="accent1" w:themeFillTint="33"/>
            <w:noWrap/>
          </w:tcPr>
          <w:p w14:paraId="73BC5795" w14:textId="77777777" w:rsidR="00F55CD3" w:rsidRPr="00331929" w:rsidRDefault="00F55CD3" w:rsidP="00AC03A4">
            <w:pPr>
              <w:jc w:val="both"/>
              <w:rPr>
                <w:rFonts w:ascii="Times New Roman" w:eastAsiaTheme="minorEastAsia" w:hAnsi="Times New Roman" w:cs="Times New Roman"/>
                <w:b/>
                <w:color w:val="auto"/>
                <w:sz w:val="18"/>
                <w:szCs w:val="18"/>
                <w:lang w:val="es-ES"/>
              </w:rPr>
            </w:pPr>
            <w:r w:rsidRPr="00331929">
              <w:rPr>
                <w:rFonts w:ascii="Times New Roman" w:eastAsiaTheme="minorEastAsia" w:hAnsi="Times New Roman" w:cs="Times New Roman"/>
                <w:b/>
                <w:color w:val="auto"/>
                <w:sz w:val="18"/>
                <w:szCs w:val="18"/>
                <w:lang w:val="es-ES"/>
              </w:rPr>
              <w:t>Superficie Total</w:t>
            </w:r>
          </w:p>
        </w:tc>
        <w:tc>
          <w:tcPr>
            <w:tcW w:w="1070" w:type="pct"/>
            <w:tcBorders>
              <w:top w:val="none" w:sz="0" w:space="0" w:color="auto"/>
              <w:left w:val="none" w:sz="0" w:space="0" w:color="auto"/>
              <w:bottom w:val="none" w:sz="0" w:space="0" w:color="auto"/>
              <w:right w:val="none" w:sz="0" w:space="0" w:color="auto"/>
            </w:tcBorders>
            <w:shd w:val="clear" w:color="auto" w:fill="DEEAF6" w:themeFill="accent1" w:themeFillTint="33"/>
          </w:tcPr>
          <w:p w14:paraId="1B78E5F8" w14:textId="77777777" w:rsidR="00F55CD3" w:rsidRPr="00331929" w:rsidRDefault="00F55CD3" w:rsidP="00B8358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s-AR"/>
              </w:rPr>
            </w:pPr>
            <w:r w:rsidRPr="00331929">
              <w:rPr>
                <w:rFonts w:ascii="Times New Roman" w:hAnsi="Times New Roman" w:cs="Times New Roman"/>
                <w:color w:val="auto"/>
                <w:sz w:val="18"/>
                <w:szCs w:val="18"/>
                <w:lang w:val="es-AR"/>
              </w:rPr>
              <w:t>4</w:t>
            </w:r>
            <w:r w:rsidR="000B3F60" w:rsidRPr="00331929">
              <w:rPr>
                <w:rFonts w:ascii="Times New Roman" w:hAnsi="Times New Roman" w:cs="Times New Roman"/>
                <w:color w:val="auto"/>
                <w:sz w:val="18"/>
                <w:szCs w:val="18"/>
                <w:lang w:val="es-AR"/>
              </w:rPr>
              <w:t>.</w:t>
            </w:r>
            <w:r w:rsidRPr="00331929">
              <w:rPr>
                <w:rFonts w:ascii="Times New Roman" w:hAnsi="Times New Roman" w:cs="Times New Roman"/>
                <w:color w:val="auto"/>
                <w:sz w:val="18"/>
                <w:szCs w:val="18"/>
                <w:lang w:val="es-AR"/>
              </w:rPr>
              <w:t>269</w:t>
            </w:r>
            <w:r w:rsidR="000B3F60" w:rsidRPr="00331929">
              <w:rPr>
                <w:rFonts w:ascii="Times New Roman" w:hAnsi="Times New Roman" w:cs="Times New Roman"/>
                <w:color w:val="auto"/>
                <w:sz w:val="18"/>
                <w:szCs w:val="18"/>
                <w:lang w:val="es-AR"/>
              </w:rPr>
              <w:t>.</w:t>
            </w:r>
            <w:r w:rsidRPr="00331929">
              <w:rPr>
                <w:rFonts w:ascii="Times New Roman" w:hAnsi="Times New Roman" w:cs="Times New Roman"/>
                <w:color w:val="auto"/>
                <w:sz w:val="18"/>
                <w:szCs w:val="18"/>
                <w:lang w:val="es-AR"/>
              </w:rPr>
              <w:t>497,2</w:t>
            </w:r>
            <w:r w:rsidR="000B3F60" w:rsidRPr="00331929">
              <w:rPr>
                <w:rFonts w:ascii="Times New Roman" w:hAnsi="Times New Roman" w:cs="Times New Roman"/>
                <w:color w:val="auto"/>
                <w:sz w:val="18"/>
                <w:szCs w:val="18"/>
                <w:lang w:val="es-AR"/>
              </w:rPr>
              <w:t>0</w:t>
            </w:r>
          </w:p>
        </w:tc>
        <w:tc>
          <w:tcPr>
            <w:tcW w:w="950" w:type="pct"/>
            <w:tcBorders>
              <w:top w:val="none" w:sz="0" w:space="0" w:color="auto"/>
              <w:left w:val="none" w:sz="0" w:space="0" w:color="auto"/>
              <w:bottom w:val="none" w:sz="0" w:space="0" w:color="auto"/>
              <w:right w:val="none" w:sz="0" w:space="0" w:color="auto"/>
            </w:tcBorders>
            <w:shd w:val="clear" w:color="auto" w:fill="DEEAF6" w:themeFill="accent1" w:themeFillTint="33"/>
          </w:tcPr>
          <w:p w14:paraId="081B11DF" w14:textId="77777777" w:rsidR="00F55CD3" w:rsidRPr="00331929" w:rsidRDefault="00F55CD3" w:rsidP="00B8358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s-AR"/>
              </w:rPr>
            </w:pPr>
            <w:r w:rsidRPr="00331929">
              <w:rPr>
                <w:rFonts w:ascii="Times New Roman" w:hAnsi="Times New Roman" w:cs="Times New Roman"/>
                <w:color w:val="auto"/>
                <w:sz w:val="18"/>
                <w:szCs w:val="18"/>
                <w:lang w:val="es-AR"/>
              </w:rPr>
              <w:t>4</w:t>
            </w:r>
            <w:r w:rsidR="000B3F60" w:rsidRPr="00331929">
              <w:rPr>
                <w:rFonts w:ascii="Times New Roman" w:hAnsi="Times New Roman" w:cs="Times New Roman"/>
                <w:color w:val="auto"/>
                <w:sz w:val="18"/>
                <w:szCs w:val="18"/>
                <w:lang w:val="es-AR"/>
              </w:rPr>
              <w:t>.</w:t>
            </w:r>
            <w:r w:rsidRPr="00331929">
              <w:rPr>
                <w:rFonts w:ascii="Times New Roman" w:hAnsi="Times New Roman" w:cs="Times New Roman"/>
                <w:color w:val="auto"/>
                <w:sz w:val="18"/>
                <w:szCs w:val="18"/>
                <w:lang w:val="es-AR"/>
              </w:rPr>
              <w:t>480</w:t>
            </w:r>
            <w:r w:rsidR="000B3F60" w:rsidRPr="00331929">
              <w:rPr>
                <w:rFonts w:ascii="Times New Roman" w:hAnsi="Times New Roman" w:cs="Times New Roman"/>
                <w:color w:val="auto"/>
                <w:sz w:val="18"/>
                <w:szCs w:val="18"/>
                <w:lang w:val="es-AR"/>
              </w:rPr>
              <w:t>.</w:t>
            </w:r>
            <w:r w:rsidRPr="00331929">
              <w:rPr>
                <w:rFonts w:ascii="Times New Roman" w:hAnsi="Times New Roman" w:cs="Times New Roman"/>
                <w:color w:val="auto"/>
                <w:sz w:val="18"/>
                <w:szCs w:val="18"/>
                <w:lang w:val="es-AR"/>
              </w:rPr>
              <w:t>165,5</w:t>
            </w:r>
            <w:r w:rsidR="000B3F60" w:rsidRPr="00331929">
              <w:rPr>
                <w:rFonts w:ascii="Times New Roman" w:hAnsi="Times New Roman" w:cs="Times New Roman"/>
                <w:color w:val="auto"/>
                <w:sz w:val="18"/>
                <w:szCs w:val="18"/>
                <w:lang w:val="es-AR"/>
              </w:rPr>
              <w:t>0</w:t>
            </w:r>
          </w:p>
        </w:tc>
        <w:tc>
          <w:tcPr>
            <w:tcW w:w="951" w:type="pct"/>
            <w:tcBorders>
              <w:top w:val="none" w:sz="0" w:space="0" w:color="auto"/>
              <w:left w:val="none" w:sz="0" w:space="0" w:color="auto"/>
              <w:bottom w:val="none" w:sz="0" w:space="0" w:color="auto"/>
              <w:right w:val="none" w:sz="0" w:space="0" w:color="auto"/>
            </w:tcBorders>
            <w:shd w:val="clear" w:color="auto" w:fill="DEEAF6" w:themeFill="accent1" w:themeFillTint="33"/>
          </w:tcPr>
          <w:p w14:paraId="11894306" w14:textId="77777777" w:rsidR="00F55CD3" w:rsidRPr="00331929" w:rsidRDefault="00F55CD3" w:rsidP="00B8358C">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lang w:val="es-ES"/>
              </w:rPr>
            </w:pPr>
            <w:r w:rsidRPr="00331929">
              <w:rPr>
                <w:rFonts w:ascii="Times New Roman" w:eastAsiaTheme="minorEastAsia" w:hAnsi="Times New Roman" w:cs="Times New Roman"/>
                <w:color w:val="auto"/>
                <w:sz w:val="18"/>
                <w:szCs w:val="18"/>
                <w:lang w:val="es-ES"/>
              </w:rPr>
              <w:t>210</w:t>
            </w:r>
            <w:r w:rsidR="000B3F60" w:rsidRPr="00331929">
              <w:rPr>
                <w:rFonts w:ascii="Times New Roman" w:eastAsiaTheme="minorEastAsia" w:hAnsi="Times New Roman" w:cs="Times New Roman"/>
                <w:color w:val="auto"/>
                <w:sz w:val="18"/>
                <w:szCs w:val="18"/>
                <w:lang w:val="es-ES"/>
              </w:rPr>
              <w:t>.</w:t>
            </w:r>
            <w:r w:rsidRPr="00331929">
              <w:rPr>
                <w:rFonts w:ascii="Times New Roman" w:eastAsiaTheme="minorEastAsia" w:hAnsi="Times New Roman" w:cs="Times New Roman"/>
                <w:color w:val="auto"/>
                <w:sz w:val="18"/>
                <w:szCs w:val="18"/>
                <w:lang w:val="es-ES"/>
              </w:rPr>
              <w:t>668,2</w:t>
            </w:r>
            <w:r w:rsidR="000B3F60" w:rsidRPr="00331929">
              <w:rPr>
                <w:rFonts w:ascii="Times New Roman" w:eastAsiaTheme="minorEastAsia" w:hAnsi="Times New Roman" w:cs="Times New Roman"/>
                <w:color w:val="auto"/>
                <w:sz w:val="18"/>
                <w:szCs w:val="18"/>
                <w:lang w:val="es-ES"/>
              </w:rPr>
              <w:t>0</w:t>
            </w:r>
          </w:p>
        </w:tc>
        <w:tc>
          <w:tcPr>
            <w:tcW w:w="598" w:type="pct"/>
            <w:tcBorders>
              <w:top w:val="none" w:sz="0" w:space="0" w:color="auto"/>
              <w:left w:val="none" w:sz="0" w:space="0" w:color="auto"/>
              <w:bottom w:val="none" w:sz="0" w:space="0" w:color="auto"/>
            </w:tcBorders>
            <w:shd w:val="clear" w:color="auto" w:fill="DEEAF6" w:themeFill="accent1" w:themeFillTint="33"/>
          </w:tcPr>
          <w:p w14:paraId="59DCFAB2" w14:textId="77777777" w:rsidR="00F55CD3" w:rsidRPr="00331929" w:rsidRDefault="000B3F60" w:rsidP="00B8358C">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lang w:val="es-ES"/>
              </w:rPr>
            </w:pPr>
            <w:r w:rsidRPr="00331929">
              <w:rPr>
                <w:rFonts w:ascii="Times New Roman" w:eastAsiaTheme="minorEastAsia" w:hAnsi="Times New Roman" w:cs="Times New Roman"/>
                <w:color w:val="auto"/>
                <w:sz w:val="18"/>
                <w:szCs w:val="18"/>
                <w:lang w:val="es-ES"/>
              </w:rPr>
              <w:t>4,93</w:t>
            </w:r>
          </w:p>
        </w:tc>
      </w:tr>
      <w:tr w:rsidR="00331929" w:rsidRPr="00331929" w14:paraId="6D8846F5" w14:textId="77777777" w:rsidTr="006803AD">
        <w:trPr>
          <w:jc w:val="center"/>
        </w:trPr>
        <w:tc>
          <w:tcPr>
            <w:cnfStyle w:val="001000000000" w:firstRow="0" w:lastRow="0" w:firstColumn="1" w:lastColumn="0" w:oddVBand="0" w:evenVBand="0" w:oddHBand="0" w:evenHBand="0" w:firstRowFirstColumn="0" w:firstRowLastColumn="0" w:lastRowFirstColumn="0" w:lastRowLastColumn="0"/>
            <w:tcW w:w="1431" w:type="pct"/>
            <w:tcBorders>
              <w:top w:val="none" w:sz="0" w:space="0" w:color="auto"/>
              <w:left w:val="none" w:sz="0" w:space="0" w:color="auto"/>
              <w:bottom w:val="none" w:sz="0" w:space="0" w:color="auto"/>
              <w:right w:val="none" w:sz="0" w:space="0" w:color="auto"/>
            </w:tcBorders>
            <w:noWrap/>
          </w:tcPr>
          <w:p w14:paraId="102CF622" w14:textId="77777777" w:rsidR="00F55CD3" w:rsidRPr="00331929" w:rsidRDefault="00F55CD3" w:rsidP="00AC03A4">
            <w:pPr>
              <w:jc w:val="both"/>
              <w:rPr>
                <w:rFonts w:ascii="Times New Roman" w:eastAsiaTheme="minorEastAsia" w:hAnsi="Times New Roman" w:cs="Times New Roman"/>
                <w:b/>
                <w:color w:val="auto"/>
                <w:sz w:val="18"/>
                <w:szCs w:val="18"/>
                <w:lang w:val="es-ES"/>
              </w:rPr>
            </w:pPr>
            <w:r w:rsidRPr="00331929">
              <w:rPr>
                <w:rFonts w:ascii="Times New Roman" w:eastAsiaTheme="minorEastAsia" w:hAnsi="Times New Roman" w:cs="Times New Roman"/>
                <w:b/>
                <w:color w:val="auto"/>
                <w:sz w:val="18"/>
                <w:szCs w:val="18"/>
                <w:lang w:val="es-ES"/>
              </w:rPr>
              <w:t xml:space="preserve">Superficie en propiedad </w:t>
            </w:r>
          </w:p>
        </w:tc>
        <w:tc>
          <w:tcPr>
            <w:tcW w:w="1070" w:type="pct"/>
          </w:tcPr>
          <w:p w14:paraId="27EB2A0E" w14:textId="77777777" w:rsidR="00F55CD3" w:rsidRPr="00331929" w:rsidRDefault="00F55CD3" w:rsidP="00B8358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s-AR"/>
              </w:rPr>
            </w:pPr>
            <w:r w:rsidRPr="00331929">
              <w:rPr>
                <w:rFonts w:ascii="Times New Roman" w:hAnsi="Times New Roman" w:cs="Times New Roman"/>
                <w:color w:val="auto"/>
                <w:sz w:val="18"/>
                <w:szCs w:val="18"/>
                <w:lang w:val="es-AR"/>
              </w:rPr>
              <w:t>3</w:t>
            </w:r>
            <w:r w:rsidR="000B3F60" w:rsidRPr="00331929">
              <w:rPr>
                <w:rFonts w:ascii="Times New Roman" w:hAnsi="Times New Roman" w:cs="Times New Roman"/>
                <w:color w:val="auto"/>
                <w:sz w:val="18"/>
                <w:szCs w:val="18"/>
                <w:lang w:val="es-AR"/>
              </w:rPr>
              <w:t>.</w:t>
            </w:r>
            <w:r w:rsidRPr="00331929">
              <w:rPr>
                <w:rFonts w:ascii="Times New Roman" w:hAnsi="Times New Roman" w:cs="Times New Roman"/>
                <w:color w:val="auto"/>
                <w:sz w:val="18"/>
                <w:szCs w:val="18"/>
                <w:lang w:val="es-AR"/>
              </w:rPr>
              <w:t>425</w:t>
            </w:r>
            <w:r w:rsidR="000B3F60" w:rsidRPr="00331929">
              <w:rPr>
                <w:rFonts w:ascii="Times New Roman" w:hAnsi="Times New Roman" w:cs="Times New Roman"/>
                <w:color w:val="auto"/>
                <w:sz w:val="18"/>
                <w:szCs w:val="18"/>
                <w:lang w:val="es-AR"/>
              </w:rPr>
              <w:t>.</w:t>
            </w:r>
            <w:r w:rsidRPr="00331929">
              <w:rPr>
                <w:rFonts w:ascii="Times New Roman" w:hAnsi="Times New Roman" w:cs="Times New Roman"/>
                <w:color w:val="auto"/>
                <w:sz w:val="18"/>
                <w:szCs w:val="18"/>
                <w:lang w:val="es-AR"/>
              </w:rPr>
              <w:t>897,4</w:t>
            </w:r>
            <w:r w:rsidR="000B3F60" w:rsidRPr="00331929">
              <w:rPr>
                <w:rFonts w:ascii="Times New Roman" w:hAnsi="Times New Roman" w:cs="Times New Roman"/>
                <w:color w:val="auto"/>
                <w:sz w:val="18"/>
                <w:szCs w:val="18"/>
                <w:lang w:val="es-AR"/>
              </w:rPr>
              <w:t>0</w:t>
            </w:r>
          </w:p>
        </w:tc>
        <w:tc>
          <w:tcPr>
            <w:tcW w:w="950" w:type="pct"/>
          </w:tcPr>
          <w:p w14:paraId="03B91B4E" w14:textId="77777777" w:rsidR="00F55CD3" w:rsidRPr="00331929" w:rsidRDefault="00F55CD3" w:rsidP="00B8358C">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18"/>
                <w:szCs w:val="18"/>
                <w:lang w:val="es-ES"/>
              </w:rPr>
            </w:pPr>
            <w:r w:rsidRPr="00331929">
              <w:rPr>
                <w:rFonts w:ascii="Times New Roman" w:hAnsi="Times New Roman" w:cs="Times New Roman"/>
                <w:color w:val="auto"/>
                <w:sz w:val="18"/>
                <w:szCs w:val="18"/>
                <w:lang w:val="es-AR"/>
              </w:rPr>
              <w:t>3</w:t>
            </w:r>
            <w:r w:rsidR="000B3F60" w:rsidRPr="00331929">
              <w:rPr>
                <w:rFonts w:ascii="Times New Roman" w:hAnsi="Times New Roman" w:cs="Times New Roman"/>
                <w:color w:val="auto"/>
                <w:sz w:val="18"/>
                <w:szCs w:val="18"/>
                <w:lang w:val="es-AR"/>
              </w:rPr>
              <w:t>.</w:t>
            </w:r>
            <w:r w:rsidRPr="00331929">
              <w:rPr>
                <w:rFonts w:ascii="Times New Roman" w:hAnsi="Times New Roman" w:cs="Times New Roman"/>
                <w:color w:val="auto"/>
                <w:sz w:val="18"/>
                <w:szCs w:val="18"/>
                <w:lang w:val="es-AR"/>
              </w:rPr>
              <w:t>144</w:t>
            </w:r>
            <w:r w:rsidR="000B3F60" w:rsidRPr="00331929">
              <w:rPr>
                <w:rFonts w:ascii="Times New Roman" w:hAnsi="Times New Roman" w:cs="Times New Roman"/>
                <w:color w:val="auto"/>
                <w:sz w:val="18"/>
                <w:szCs w:val="18"/>
                <w:lang w:val="es-AR"/>
              </w:rPr>
              <w:t>.</w:t>
            </w:r>
            <w:r w:rsidRPr="00331929">
              <w:rPr>
                <w:rFonts w:ascii="Times New Roman" w:hAnsi="Times New Roman" w:cs="Times New Roman"/>
                <w:color w:val="auto"/>
                <w:sz w:val="18"/>
                <w:szCs w:val="18"/>
                <w:lang w:val="es-AR"/>
              </w:rPr>
              <w:t>871,3</w:t>
            </w:r>
            <w:r w:rsidR="000B3F60" w:rsidRPr="00331929">
              <w:rPr>
                <w:rFonts w:ascii="Times New Roman" w:hAnsi="Times New Roman" w:cs="Times New Roman"/>
                <w:color w:val="auto"/>
                <w:sz w:val="18"/>
                <w:szCs w:val="18"/>
                <w:lang w:val="es-AR"/>
              </w:rPr>
              <w:t>0</w:t>
            </w:r>
          </w:p>
        </w:tc>
        <w:tc>
          <w:tcPr>
            <w:tcW w:w="951" w:type="pct"/>
          </w:tcPr>
          <w:p w14:paraId="6F5925FF" w14:textId="77777777" w:rsidR="00F55CD3" w:rsidRPr="00331929" w:rsidRDefault="00F55CD3" w:rsidP="00B8358C">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18"/>
                <w:szCs w:val="18"/>
                <w:lang w:val="es-ES"/>
              </w:rPr>
            </w:pPr>
            <w:r w:rsidRPr="00331929">
              <w:rPr>
                <w:rFonts w:ascii="Times New Roman" w:eastAsiaTheme="minorEastAsia" w:hAnsi="Times New Roman" w:cs="Times New Roman"/>
                <w:color w:val="auto"/>
                <w:sz w:val="18"/>
                <w:szCs w:val="18"/>
                <w:lang w:val="es-ES"/>
              </w:rPr>
              <w:t>-281</w:t>
            </w:r>
            <w:r w:rsidR="000B3F60" w:rsidRPr="00331929">
              <w:rPr>
                <w:rFonts w:ascii="Times New Roman" w:eastAsiaTheme="minorEastAsia" w:hAnsi="Times New Roman" w:cs="Times New Roman"/>
                <w:color w:val="auto"/>
                <w:sz w:val="18"/>
                <w:szCs w:val="18"/>
                <w:lang w:val="es-ES"/>
              </w:rPr>
              <w:t>.</w:t>
            </w:r>
            <w:r w:rsidRPr="00331929">
              <w:rPr>
                <w:rFonts w:ascii="Times New Roman" w:eastAsiaTheme="minorEastAsia" w:hAnsi="Times New Roman" w:cs="Times New Roman"/>
                <w:color w:val="auto"/>
                <w:sz w:val="18"/>
                <w:szCs w:val="18"/>
                <w:lang w:val="es-ES"/>
              </w:rPr>
              <w:t>026,1</w:t>
            </w:r>
            <w:r w:rsidR="000B3F60" w:rsidRPr="00331929">
              <w:rPr>
                <w:rFonts w:ascii="Times New Roman" w:eastAsiaTheme="minorEastAsia" w:hAnsi="Times New Roman" w:cs="Times New Roman"/>
                <w:color w:val="auto"/>
                <w:sz w:val="18"/>
                <w:szCs w:val="18"/>
                <w:lang w:val="es-ES"/>
              </w:rPr>
              <w:t>0</w:t>
            </w:r>
          </w:p>
        </w:tc>
        <w:tc>
          <w:tcPr>
            <w:tcW w:w="598" w:type="pct"/>
          </w:tcPr>
          <w:p w14:paraId="4A139D59" w14:textId="77777777" w:rsidR="00F55CD3" w:rsidRPr="00331929" w:rsidRDefault="000B3F60" w:rsidP="00B8358C">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18"/>
                <w:szCs w:val="18"/>
                <w:lang w:val="es-ES"/>
              </w:rPr>
            </w:pPr>
            <w:r w:rsidRPr="00331929">
              <w:rPr>
                <w:rFonts w:ascii="Times New Roman" w:eastAsiaTheme="minorEastAsia" w:hAnsi="Times New Roman" w:cs="Times New Roman"/>
                <w:color w:val="auto"/>
                <w:sz w:val="18"/>
                <w:szCs w:val="18"/>
                <w:lang w:val="es-ES"/>
              </w:rPr>
              <w:t>-8,20</w:t>
            </w:r>
          </w:p>
        </w:tc>
      </w:tr>
      <w:tr w:rsidR="00331929" w:rsidRPr="00331929" w14:paraId="549F0892" w14:textId="77777777" w:rsidTr="006803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1" w:type="pct"/>
            <w:tcBorders>
              <w:top w:val="none" w:sz="0" w:space="0" w:color="auto"/>
              <w:left w:val="none" w:sz="0" w:space="0" w:color="auto"/>
              <w:bottom w:val="none" w:sz="0" w:space="0" w:color="auto"/>
              <w:right w:val="none" w:sz="0" w:space="0" w:color="auto"/>
            </w:tcBorders>
            <w:shd w:val="clear" w:color="auto" w:fill="DEEAF6" w:themeFill="accent1" w:themeFillTint="33"/>
            <w:noWrap/>
          </w:tcPr>
          <w:p w14:paraId="201706DD" w14:textId="77777777" w:rsidR="00F55CD3" w:rsidRPr="00331929" w:rsidRDefault="00F55CD3" w:rsidP="00AC03A4">
            <w:pPr>
              <w:jc w:val="both"/>
              <w:rPr>
                <w:rFonts w:ascii="Times New Roman" w:eastAsiaTheme="minorEastAsia" w:hAnsi="Times New Roman" w:cs="Times New Roman"/>
                <w:b/>
                <w:color w:val="auto"/>
                <w:sz w:val="18"/>
                <w:szCs w:val="18"/>
                <w:lang w:val="es-ES"/>
              </w:rPr>
            </w:pPr>
            <w:r w:rsidRPr="00331929">
              <w:rPr>
                <w:rFonts w:ascii="Times New Roman" w:eastAsiaTheme="minorEastAsia" w:hAnsi="Times New Roman" w:cs="Times New Roman"/>
                <w:b/>
                <w:color w:val="auto"/>
                <w:sz w:val="18"/>
                <w:szCs w:val="18"/>
                <w:lang w:val="es-ES"/>
              </w:rPr>
              <w:t>Sucesión Indivisa</w:t>
            </w:r>
          </w:p>
        </w:tc>
        <w:tc>
          <w:tcPr>
            <w:tcW w:w="1070" w:type="pct"/>
            <w:tcBorders>
              <w:top w:val="none" w:sz="0" w:space="0" w:color="auto"/>
              <w:left w:val="none" w:sz="0" w:space="0" w:color="auto"/>
              <w:bottom w:val="none" w:sz="0" w:space="0" w:color="auto"/>
              <w:right w:val="none" w:sz="0" w:space="0" w:color="auto"/>
            </w:tcBorders>
            <w:shd w:val="clear" w:color="auto" w:fill="DEEAF6" w:themeFill="accent1" w:themeFillTint="33"/>
          </w:tcPr>
          <w:p w14:paraId="2E6F0874" w14:textId="77777777" w:rsidR="00F55CD3" w:rsidRPr="00331929" w:rsidRDefault="00F55CD3" w:rsidP="00B8358C">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lang w:val="es-ES"/>
              </w:rPr>
            </w:pPr>
            <w:r w:rsidRPr="00331929">
              <w:rPr>
                <w:rFonts w:ascii="Times New Roman" w:hAnsi="Times New Roman" w:cs="Times New Roman"/>
                <w:color w:val="auto"/>
                <w:sz w:val="18"/>
                <w:szCs w:val="18"/>
                <w:lang w:val="es-AR"/>
              </w:rPr>
              <w:t>434</w:t>
            </w:r>
            <w:r w:rsidR="000B3F60" w:rsidRPr="00331929">
              <w:rPr>
                <w:rFonts w:ascii="Times New Roman" w:hAnsi="Times New Roman" w:cs="Times New Roman"/>
                <w:color w:val="auto"/>
                <w:sz w:val="18"/>
                <w:szCs w:val="18"/>
                <w:lang w:val="es-AR"/>
              </w:rPr>
              <w:t>.</w:t>
            </w:r>
            <w:r w:rsidRPr="00331929">
              <w:rPr>
                <w:rFonts w:ascii="Times New Roman" w:hAnsi="Times New Roman" w:cs="Times New Roman"/>
                <w:color w:val="auto"/>
                <w:sz w:val="18"/>
                <w:szCs w:val="18"/>
                <w:lang w:val="es-AR"/>
              </w:rPr>
              <w:t>317,2</w:t>
            </w:r>
            <w:r w:rsidR="000B3F60" w:rsidRPr="00331929">
              <w:rPr>
                <w:rFonts w:ascii="Times New Roman" w:hAnsi="Times New Roman" w:cs="Times New Roman"/>
                <w:color w:val="auto"/>
                <w:sz w:val="18"/>
                <w:szCs w:val="18"/>
                <w:lang w:val="es-AR"/>
              </w:rPr>
              <w:t>0</w:t>
            </w:r>
          </w:p>
        </w:tc>
        <w:tc>
          <w:tcPr>
            <w:tcW w:w="950" w:type="pct"/>
            <w:tcBorders>
              <w:top w:val="none" w:sz="0" w:space="0" w:color="auto"/>
              <w:left w:val="none" w:sz="0" w:space="0" w:color="auto"/>
              <w:bottom w:val="none" w:sz="0" w:space="0" w:color="auto"/>
              <w:right w:val="none" w:sz="0" w:space="0" w:color="auto"/>
            </w:tcBorders>
            <w:shd w:val="clear" w:color="auto" w:fill="DEEAF6" w:themeFill="accent1" w:themeFillTint="33"/>
          </w:tcPr>
          <w:p w14:paraId="74A41E82" w14:textId="77777777" w:rsidR="00F55CD3" w:rsidRPr="00331929" w:rsidRDefault="00F55CD3" w:rsidP="00B8358C">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lang w:val="es-ES"/>
              </w:rPr>
            </w:pPr>
            <w:r w:rsidRPr="00331929">
              <w:rPr>
                <w:rFonts w:ascii="Times New Roman" w:hAnsi="Times New Roman" w:cs="Times New Roman"/>
                <w:color w:val="auto"/>
                <w:sz w:val="18"/>
                <w:szCs w:val="18"/>
                <w:lang w:val="es-AR"/>
              </w:rPr>
              <w:t>96</w:t>
            </w:r>
            <w:r w:rsidR="000B3F60" w:rsidRPr="00331929">
              <w:rPr>
                <w:rFonts w:ascii="Times New Roman" w:hAnsi="Times New Roman" w:cs="Times New Roman"/>
                <w:color w:val="auto"/>
                <w:sz w:val="18"/>
                <w:szCs w:val="18"/>
                <w:lang w:val="es-AR"/>
              </w:rPr>
              <w:t>.</w:t>
            </w:r>
            <w:r w:rsidRPr="00331929">
              <w:rPr>
                <w:rFonts w:ascii="Times New Roman" w:hAnsi="Times New Roman" w:cs="Times New Roman"/>
                <w:color w:val="auto"/>
                <w:sz w:val="18"/>
                <w:szCs w:val="18"/>
                <w:lang w:val="es-AR"/>
              </w:rPr>
              <w:t>484,5</w:t>
            </w:r>
            <w:r w:rsidR="000B3F60" w:rsidRPr="00331929">
              <w:rPr>
                <w:rFonts w:ascii="Times New Roman" w:hAnsi="Times New Roman" w:cs="Times New Roman"/>
                <w:color w:val="auto"/>
                <w:sz w:val="18"/>
                <w:szCs w:val="18"/>
                <w:lang w:val="es-AR"/>
              </w:rPr>
              <w:t>0</w:t>
            </w:r>
          </w:p>
        </w:tc>
        <w:tc>
          <w:tcPr>
            <w:tcW w:w="951" w:type="pct"/>
            <w:tcBorders>
              <w:top w:val="none" w:sz="0" w:space="0" w:color="auto"/>
              <w:left w:val="none" w:sz="0" w:space="0" w:color="auto"/>
              <w:bottom w:val="none" w:sz="0" w:space="0" w:color="auto"/>
              <w:right w:val="none" w:sz="0" w:space="0" w:color="auto"/>
            </w:tcBorders>
            <w:shd w:val="clear" w:color="auto" w:fill="DEEAF6" w:themeFill="accent1" w:themeFillTint="33"/>
          </w:tcPr>
          <w:p w14:paraId="57334F4C" w14:textId="77777777" w:rsidR="00F55CD3" w:rsidRPr="00331929" w:rsidRDefault="00F55CD3" w:rsidP="00B8358C">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lang w:val="es-ES"/>
              </w:rPr>
            </w:pPr>
            <w:r w:rsidRPr="00331929">
              <w:rPr>
                <w:rFonts w:ascii="Times New Roman" w:eastAsiaTheme="minorEastAsia" w:hAnsi="Times New Roman" w:cs="Times New Roman"/>
                <w:color w:val="auto"/>
                <w:sz w:val="18"/>
                <w:szCs w:val="18"/>
                <w:lang w:val="es-ES"/>
              </w:rPr>
              <w:t>-337</w:t>
            </w:r>
            <w:r w:rsidR="000B3F60" w:rsidRPr="00331929">
              <w:rPr>
                <w:rFonts w:ascii="Times New Roman" w:eastAsiaTheme="minorEastAsia" w:hAnsi="Times New Roman" w:cs="Times New Roman"/>
                <w:color w:val="auto"/>
                <w:sz w:val="18"/>
                <w:szCs w:val="18"/>
                <w:lang w:val="es-ES"/>
              </w:rPr>
              <w:t>.</w:t>
            </w:r>
            <w:r w:rsidRPr="00331929">
              <w:rPr>
                <w:rFonts w:ascii="Times New Roman" w:eastAsiaTheme="minorEastAsia" w:hAnsi="Times New Roman" w:cs="Times New Roman"/>
                <w:color w:val="auto"/>
                <w:sz w:val="18"/>
                <w:szCs w:val="18"/>
                <w:lang w:val="es-ES"/>
              </w:rPr>
              <w:t>832,2</w:t>
            </w:r>
            <w:r w:rsidR="000B3F60" w:rsidRPr="00331929">
              <w:rPr>
                <w:rFonts w:ascii="Times New Roman" w:eastAsiaTheme="minorEastAsia" w:hAnsi="Times New Roman" w:cs="Times New Roman"/>
                <w:color w:val="auto"/>
                <w:sz w:val="18"/>
                <w:szCs w:val="18"/>
                <w:lang w:val="es-ES"/>
              </w:rPr>
              <w:t>0</w:t>
            </w:r>
          </w:p>
        </w:tc>
        <w:tc>
          <w:tcPr>
            <w:tcW w:w="598" w:type="pct"/>
            <w:tcBorders>
              <w:top w:val="none" w:sz="0" w:space="0" w:color="auto"/>
              <w:left w:val="none" w:sz="0" w:space="0" w:color="auto"/>
              <w:bottom w:val="none" w:sz="0" w:space="0" w:color="auto"/>
            </w:tcBorders>
            <w:shd w:val="clear" w:color="auto" w:fill="DEEAF6" w:themeFill="accent1" w:themeFillTint="33"/>
          </w:tcPr>
          <w:p w14:paraId="6675EA01" w14:textId="77777777" w:rsidR="00F55CD3" w:rsidRPr="00331929" w:rsidRDefault="000B3F60" w:rsidP="00B8358C">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lang w:val="es-ES"/>
              </w:rPr>
            </w:pPr>
            <w:r w:rsidRPr="00331929">
              <w:rPr>
                <w:rFonts w:ascii="Times New Roman" w:eastAsiaTheme="minorEastAsia" w:hAnsi="Times New Roman" w:cs="Times New Roman"/>
                <w:color w:val="auto"/>
                <w:sz w:val="18"/>
                <w:szCs w:val="18"/>
                <w:lang w:val="es-ES"/>
              </w:rPr>
              <w:t>-77,78</w:t>
            </w:r>
          </w:p>
        </w:tc>
      </w:tr>
      <w:tr w:rsidR="00331929" w:rsidRPr="00331929" w14:paraId="08EB56C1" w14:textId="77777777" w:rsidTr="006803AD">
        <w:trPr>
          <w:jc w:val="center"/>
        </w:trPr>
        <w:tc>
          <w:tcPr>
            <w:cnfStyle w:val="001000000000" w:firstRow="0" w:lastRow="0" w:firstColumn="1" w:lastColumn="0" w:oddVBand="0" w:evenVBand="0" w:oddHBand="0" w:evenHBand="0" w:firstRowFirstColumn="0" w:firstRowLastColumn="0" w:lastRowFirstColumn="0" w:lastRowLastColumn="0"/>
            <w:tcW w:w="1431" w:type="pct"/>
            <w:tcBorders>
              <w:top w:val="none" w:sz="0" w:space="0" w:color="auto"/>
              <w:left w:val="none" w:sz="0" w:space="0" w:color="auto"/>
              <w:bottom w:val="none" w:sz="0" w:space="0" w:color="auto"/>
              <w:right w:val="none" w:sz="0" w:space="0" w:color="auto"/>
            </w:tcBorders>
            <w:noWrap/>
          </w:tcPr>
          <w:p w14:paraId="7418AB91" w14:textId="77777777" w:rsidR="00F55CD3" w:rsidRPr="00331929" w:rsidRDefault="00F55CD3" w:rsidP="00AC03A4">
            <w:pPr>
              <w:jc w:val="both"/>
              <w:rPr>
                <w:rFonts w:ascii="Times New Roman" w:eastAsiaTheme="minorEastAsia" w:hAnsi="Times New Roman" w:cs="Times New Roman"/>
                <w:b/>
                <w:color w:val="auto"/>
                <w:sz w:val="18"/>
                <w:szCs w:val="18"/>
                <w:lang w:val="es-ES"/>
              </w:rPr>
            </w:pPr>
            <w:r w:rsidRPr="00331929">
              <w:rPr>
                <w:rFonts w:ascii="Times New Roman" w:eastAsiaTheme="minorEastAsia" w:hAnsi="Times New Roman" w:cs="Times New Roman"/>
                <w:b/>
                <w:color w:val="auto"/>
                <w:sz w:val="18"/>
                <w:szCs w:val="18"/>
                <w:lang w:val="es-ES"/>
              </w:rPr>
              <w:t>Arrendamiento</w:t>
            </w:r>
          </w:p>
        </w:tc>
        <w:tc>
          <w:tcPr>
            <w:tcW w:w="1070" w:type="pct"/>
          </w:tcPr>
          <w:p w14:paraId="717AD468" w14:textId="77777777" w:rsidR="00F55CD3" w:rsidRPr="00331929" w:rsidRDefault="00F55CD3" w:rsidP="00B8358C">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18"/>
                <w:szCs w:val="18"/>
                <w:lang w:val="es-ES"/>
              </w:rPr>
            </w:pPr>
            <w:r w:rsidRPr="00331929">
              <w:rPr>
                <w:rFonts w:ascii="Times New Roman" w:hAnsi="Times New Roman" w:cs="Times New Roman"/>
                <w:color w:val="auto"/>
                <w:sz w:val="18"/>
                <w:szCs w:val="18"/>
                <w:lang w:val="es-AR"/>
              </w:rPr>
              <w:t>176</w:t>
            </w:r>
            <w:r w:rsidR="000B3F60" w:rsidRPr="00331929">
              <w:rPr>
                <w:rFonts w:ascii="Times New Roman" w:hAnsi="Times New Roman" w:cs="Times New Roman"/>
                <w:color w:val="auto"/>
                <w:sz w:val="18"/>
                <w:szCs w:val="18"/>
                <w:lang w:val="es-AR"/>
              </w:rPr>
              <w:t>.</w:t>
            </w:r>
            <w:r w:rsidRPr="00331929">
              <w:rPr>
                <w:rFonts w:ascii="Times New Roman" w:hAnsi="Times New Roman" w:cs="Times New Roman"/>
                <w:color w:val="auto"/>
                <w:sz w:val="18"/>
                <w:szCs w:val="18"/>
                <w:lang w:val="es-AR"/>
              </w:rPr>
              <w:t>603,9</w:t>
            </w:r>
            <w:r w:rsidR="000B3F60" w:rsidRPr="00331929">
              <w:rPr>
                <w:rFonts w:ascii="Times New Roman" w:hAnsi="Times New Roman" w:cs="Times New Roman"/>
                <w:color w:val="auto"/>
                <w:sz w:val="18"/>
                <w:szCs w:val="18"/>
                <w:lang w:val="es-AR"/>
              </w:rPr>
              <w:t>0</w:t>
            </w:r>
          </w:p>
        </w:tc>
        <w:tc>
          <w:tcPr>
            <w:tcW w:w="950" w:type="pct"/>
          </w:tcPr>
          <w:p w14:paraId="10338801" w14:textId="77777777" w:rsidR="00F55CD3" w:rsidRPr="00331929" w:rsidRDefault="00F55CD3" w:rsidP="00B8358C">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18"/>
                <w:szCs w:val="18"/>
                <w:lang w:val="es-ES"/>
              </w:rPr>
            </w:pPr>
            <w:r w:rsidRPr="00331929">
              <w:rPr>
                <w:rFonts w:ascii="Times New Roman" w:hAnsi="Times New Roman" w:cs="Times New Roman"/>
                <w:color w:val="auto"/>
                <w:sz w:val="18"/>
                <w:szCs w:val="18"/>
                <w:lang w:val="es-AR"/>
              </w:rPr>
              <w:t>337</w:t>
            </w:r>
            <w:r w:rsidR="000B3F60" w:rsidRPr="00331929">
              <w:rPr>
                <w:rFonts w:ascii="Times New Roman" w:hAnsi="Times New Roman" w:cs="Times New Roman"/>
                <w:color w:val="auto"/>
                <w:sz w:val="18"/>
                <w:szCs w:val="18"/>
                <w:lang w:val="es-AR"/>
              </w:rPr>
              <w:t>.</w:t>
            </w:r>
            <w:r w:rsidRPr="00331929">
              <w:rPr>
                <w:rFonts w:ascii="Times New Roman" w:hAnsi="Times New Roman" w:cs="Times New Roman"/>
                <w:color w:val="auto"/>
                <w:sz w:val="18"/>
                <w:szCs w:val="18"/>
                <w:lang w:val="es-AR"/>
              </w:rPr>
              <w:t>117,7</w:t>
            </w:r>
            <w:r w:rsidR="000B3F60" w:rsidRPr="00331929">
              <w:rPr>
                <w:rFonts w:ascii="Times New Roman" w:hAnsi="Times New Roman" w:cs="Times New Roman"/>
                <w:color w:val="auto"/>
                <w:sz w:val="18"/>
                <w:szCs w:val="18"/>
                <w:lang w:val="es-AR"/>
              </w:rPr>
              <w:t>0</w:t>
            </w:r>
          </w:p>
        </w:tc>
        <w:tc>
          <w:tcPr>
            <w:tcW w:w="951" w:type="pct"/>
          </w:tcPr>
          <w:p w14:paraId="23F54955" w14:textId="77777777" w:rsidR="00F55CD3" w:rsidRPr="00331929" w:rsidRDefault="00F55CD3" w:rsidP="00B8358C">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18"/>
                <w:szCs w:val="18"/>
                <w:lang w:val="es-ES"/>
              </w:rPr>
            </w:pPr>
            <w:r w:rsidRPr="00331929">
              <w:rPr>
                <w:rFonts w:ascii="Times New Roman" w:eastAsiaTheme="minorEastAsia" w:hAnsi="Times New Roman" w:cs="Times New Roman"/>
                <w:color w:val="auto"/>
                <w:sz w:val="18"/>
                <w:szCs w:val="18"/>
                <w:lang w:val="es-ES"/>
              </w:rPr>
              <w:t>160</w:t>
            </w:r>
            <w:r w:rsidR="000B3F60" w:rsidRPr="00331929">
              <w:rPr>
                <w:rFonts w:ascii="Times New Roman" w:eastAsiaTheme="minorEastAsia" w:hAnsi="Times New Roman" w:cs="Times New Roman"/>
                <w:color w:val="auto"/>
                <w:sz w:val="18"/>
                <w:szCs w:val="18"/>
                <w:lang w:val="es-ES"/>
              </w:rPr>
              <w:t>.</w:t>
            </w:r>
            <w:r w:rsidRPr="00331929">
              <w:rPr>
                <w:rFonts w:ascii="Times New Roman" w:eastAsiaTheme="minorEastAsia" w:hAnsi="Times New Roman" w:cs="Times New Roman"/>
                <w:color w:val="auto"/>
                <w:sz w:val="18"/>
                <w:szCs w:val="18"/>
                <w:lang w:val="es-ES"/>
              </w:rPr>
              <w:t>513,8</w:t>
            </w:r>
            <w:r w:rsidR="000B3F60" w:rsidRPr="00331929">
              <w:rPr>
                <w:rFonts w:ascii="Times New Roman" w:eastAsiaTheme="minorEastAsia" w:hAnsi="Times New Roman" w:cs="Times New Roman"/>
                <w:color w:val="auto"/>
                <w:sz w:val="18"/>
                <w:szCs w:val="18"/>
                <w:lang w:val="es-ES"/>
              </w:rPr>
              <w:t>0</w:t>
            </w:r>
          </w:p>
        </w:tc>
        <w:tc>
          <w:tcPr>
            <w:tcW w:w="598" w:type="pct"/>
          </w:tcPr>
          <w:p w14:paraId="140B19D9" w14:textId="77777777" w:rsidR="00F55CD3" w:rsidRPr="00331929" w:rsidRDefault="00B66838" w:rsidP="00B8358C">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18"/>
                <w:szCs w:val="18"/>
                <w:lang w:val="es-ES"/>
              </w:rPr>
            </w:pPr>
            <w:r w:rsidRPr="00331929">
              <w:rPr>
                <w:rFonts w:ascii="Times New Roman" w:eastAsiaTheme="minorEastAsia" w:hAnsi="Times New Roman" w:cs="Times New Roman"/>
                <w:color w:val="auto"/>
                <w:sz w:val="18"/>
                <w:szCs w:val="18"/>
                <w:lang w:val="es-ES"/>
              </w:rPr>
              <w:t>90,89</w:t>
            </w:r>
          </w:p>
        </w:tc>
      </w:tr>
      <w:tr w:rsidR="00331929" w:rsidRPr="00331929" w14:paraId="6BDF586B" w14:textId="77777777" w:rsidTr="006803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1" w:type="pct"/>
            <w:tcBorders>
              <w:top w:val="none" w:sz="0" w:space="0" w:color="auto"/>
              <w:left w:val="none" w:sz="0" w:space="0" w:color="auto"/>
              <w:bottom w:val="none" w:sz="0" w:space="0" w:color="auto"/>
              <w:right w:val="none" w:sz="0" w:space="0" w:color="auto"/>
            </w:tcBorders>
            <w:shd w:val="clear" w:color="auto" w:fill="DEEAF6" w:themeFill="accent1" w:themeFillTint="33"/>
            <w:noWrap/>
          </w:tcPr>
          <w:p w14:paraId="476BD113" w14:textId="77777777" w:rsidR="00F55CD3" w:rsidRPr="00331929" w:rsidRDefault="00F55CD3" w:rsidP="00AC03A4">
            <w:pPr>
              <w:jc w:val="both"/>
              <w:rPr>
                <w:rFonts w:ascii="Times New Roman" w:eastAsiaTheme="minorEastAsia" w:hAnsi="Times New Roman" w:cs="Times New Roman"/>
                <w:b/>
                <w:color w:val="auto"/>
                <w:sz w:val="18"/>
                <w:szCs w:val="18"/>
                <w:lang w:val="es-ES"/>
              </w:rPr>
            </w:pPr>
            <w:r w:rsidRPr="00331929">
              <w:rPr>
                <w:rFonts w:ascii="Times New Roman" w:eastAsiaTheme="minorEastAsia" w:hAnsi="Times New Roman" w:cs="Times New Roman"/>
                <w:b/>
                <w:color w:val="auto"/>
                <w:sz w:val="18"/>
                <w:szCs w:val="18"/>
                <w:lang w:val="es-ES"/>
              </w:rPr>
              <w:t>Aparcería</w:t>
            </w:r>
          </w:p>
        </w:tc>
        <w:tc>
          <w:tcPr>
            <w:tcW w:w="1070" w:type="pct"/>
            <w:tcBorders>
              <w:top w:val="none" w:sz="0" w:space="0" w:color="auto"/>
              <w:left w:val="none" w:sz="0" w:space="0" w:color="auto"/>
              <w:bottom w:val="none" w:sz="0" w:space="0" w:color="auto"/>
              <w:right w:val="none" w:sz="0" w:space="0" w:color="auto"/>
            </w:tcBorders>
            <w:shd w:val="clear" w:color="auto" w:fill="DEEAF6" w:themeFill="accent1" w:themeFillTint="33"/>
          </w:tcPr>
          <w:p w14:paraId="0E40B121" w14:textId="77777777" w:rsidR="00F55CD3" w:rsidRPr="00331929" w:rsidRDefault="00F55CD3" w:rsidP="00B8358C">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lang w:val="es-ES"/>
              </w:rPr>
            </w:pPr>
            <w:r w:rsidRPr="00331929">
              <w:rPr>
                <w:rFonts w:ascii="Times New Roman" w:hAnsi="Times New Roman" w:cs="Times New Roman"/>
                <w:color w:val="auto"/>
                <w:sz w:val="18"/>
                <w:szCs w:val="18"/>
                <w:lang w:val="es-AR"/>
              </w:rPr>
              <w:t>20</w:t>
            </w:r>
            <w:r w:rsidR="000B3F60" w:rsidRPr="00331929">
              <w:rPr>
                <w:rFonts w:ascii="Times New Roman" w:hAnsi="Times New Roman" w:cs="Times New Roman"/>
                <w:color w:val="auto"/>
                <w:sz w:val="18"/>
                <w:szCs w:val="18"/>
                <w:lang w:val="es-AR"/>
              </w:rPr>
              <w:t>.</w:t>
            </w:r>
            <w:r w:rsidRPr="00331929">
              <w:rPr>
                <w:rFonts w:ascii="Times New Roman" w:hAnsi="Times New Roman" w:cs="Times New Roman"/>
                <w:color w:val="auto"/>
                <w:sz w:val="18"/>
                <w:szCs w:val="18"/>
                <w:lang w:val="es-AR"/>
              </w:rPr>
              <w:t>527,3</w:t>
            </w:r>
            <w:r w:rsidR="000B3F60" w:rsidRPr="00331929">
              <w:rPr>
                <w:rFonts w:ascii="Times New Roman" w:hAnsi="Times New Roman" w:cs="Times New Roman"/>
                <w:color w:val="auto"/>
                <w:sz w:val="18"/>
                <w:szCs w:val="18"/>
                <w:lang w:val="es-AR"/>
              </w:rPr>
              <w:t>0</w:t>
            </w:r>
          </w:p>
        </w:tc>
        <w:tc>
          <w:tcPr>
            <w:tcW w:w="950" w:type="pct"/>
            <w:tcBorders>
              <w:top w:val="none" w:sz="0" w:space="0" w:color="auto"/>
              <w:left w:val="none" w:sz="0" w:space="0" w:color="auto"/>
              <w:bottom w:val="none" w:sz="0" w:space="0" w:color="auto"/>
              <w:right w:val="none" w:sz="0" w:space="0" w:color="auto"/>
            </w:tcBorders>
            <w:shd w:val="clear" w:color="auto" w:fill="DEEAF6" w:themeFill="accent1" w:themeFillTint="33"/>
          </w:tcPr>
          <w:p w14:paraId="62D7EFB1" w14:textId="77777777" w:rsidR="00F55CD3" w:rsidRPr="00331929" w:rsidRDefault="00F55CD3" w:rsidP="00B8358C">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lang w:val="es-ES"/>
              </w:rPr>
            </w:pPr>
            <w:r w:rsidRPr="00331929">
              <w:rPr>
                <w:rFonts w:ascii="Times New Roman" w:hAnsi="Times New Roman" w:cs="Times New Roman"/>
                <w:color w:val="auto"/>
                <w:sz w:val="18"/>
                <w:szCs w:val="18"/>
                <w:lang w:val="es-AR"/>
              </w:rPr>
              <w:t>29</w:t>
            </w:r>
            <w:r w:rsidR="000B3F60" w:rsidRPr="00331929">
              <w:rPr>
                <w:rFonts w:ascii="Times New Roman" w:hAnsi="Times New Roman" w:cs="Times New Roman"/>
                <w:color w:val="auto"/>
                <w:sz w:val="18"/>
                <w:szCs w:val="18"/>
                <w:lang w:val="es-AR"/>
              </w:rPr>
              <w:t>.</w:t>
            </w:r>
            <w:r w:rsidRPr="00331929">
              <w:rPr>
                <w:rFonts w:ascii="Times New Roman" w:hAnsi="Times New Roman" w:cs="Times New Roman"/>
                <w:color w:val="auto"/>
                <w:sz w:val="18"/>
                <w:szCs w:val="18"/>
                <w:lang w:val="es-AR"/>
              </w:rPr>
              <w:t>001,5</w:t>
            </w:r>
            <w:r w:rsidR="000B3F60" w:rsidRPr="00331929">
              <w:rPr>
                <w:rFonts w:ascii="Times New Roman" w:hAnsi="Times New Roman" w:cs="Times New Roman"/>
                <w:color w:val="auto"/>
                <w:sz w:val="18"/>
                <w:szCs w:val="18"/>
                <w:lang w:val="es-AR"/>
              </w:rPr>
              <w:t>0</w:t>
            </w:r>
          </w:p>
        </w:tc>
        <w:tc>
          <w:tcPr>
            <w:tcW w:w="951" w:type="pct"/>
            <w:tcBorders>
              <w:top w:val="none" w:sz="0" w:space="0" w:color="auto"/>
              <w:left w:val="none" w:sz="0" w:space="0" w:color="auto"/>
              <w:bottom w:val="none" w:sz="0" w:space="0" w:color="auto"/>
              <w:right w:val="none" w:sz="0" w:space="0" w:color="auto"/>
            </w:tcBorders>
            <w:shd w:val="clear" w:color="auto" w:fill="DEEAF6" w:themeFill="accent1" w:themeFillTint="33"/>
          </w:tcPr>
          <w:p w14:paraId="111335B1" w14:textId="77777777" w:rsidR="00F55CD3" w:rsidRPr="00331929" w:rsidRDefault="00F55CD3" w:rsidP="00B8358C">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lang w:val="es-ES"/>
              </w:rPr>
            </w:pPr>
            <w:r w:rsidRPr="00331929">
              <w:rPr>
                <w:rFonts w:ascii="Times New Roman" w:eastAsiaTheme="minorEastAsia" w:hAnsi="Times New Roman" w:cs="Times New Roman"/>
                <w:color w:val="auto"/>
                <w:sz w:val="18"/>
                <w:szCs w:val="18"/>
                <w:lang w:val="es-ES"/>
              </w:rPr>
              <w:t>8</w:t>
            </w:r>
            <w:r w:rsidR="000B3F60" w:rsidRPr="00331929">
              <w:rPr>
                <w:rFonts w:ascii="Times New Roman" w:eastAsiaTheme="minorEastAsia" w:hAnsi="Times New Roman" w:cs="Times New Roman"/>
                <w:color w:val="auto"/>
                <w:sz w:val="18"/>
                <w:szCs w:val="18"/>
                <w:lang w:val="es-ES"/>
              </w:rPr>
              <w:t>.</w:t>
            </w:r>
            <w:r w:rsidRPr="00331929">
              <w:rPr>
                <w:rFonts w:ascii="Times New Roman" w:eastAsiaTheme="minorEastAsia" w:hAnsi="Times New Roman" w:cs="Times New Roman"/>
                <w:color w:val="auto"/>
                <w:sz w:val="18"/>
                <w:szCs w:val="18"/>
                <w:lang w:val="es-ES"/>
              </w:rPr>
              <w:t>474,2</w:t>
            </w:r>
            <w:r w:rsidR="000B3F60" w:rsidRPr="00331929">
              <w:rPr>
                <w:rFonts w:ascii="Times New Roman" w:eastAsiaTheme="minorEastAsia" w:hAnsi="Times New Roman" w:cs="Times New Roman"/>
                <w:color w:val="auto"/>
                <w:sz w:val="18"/>
                <w:szCs w:val="18"/>
                <w:lang w:val="es-ES"/>
              </w:rPr>
              <w:t>0</w:t>
            </w:r>
          </w:p>
        </w:tc>
        <w:tc>
          <w:tcPr>
            <w:tcW w:w="598" w:type="pct"/>
            <w:tcBorders>
              <w:top w:val="none" w:sz="0" w:space="0" w:color="auto"/>
              <w:left w:val="none" w:sz="0" w:space="0" w:color="auto"/>
              <w:bottom w:val="none" w:sz="0" w:space="0" w:color="auto"/>
            </w:tcBorders>
            <w:shd w:val="clear" w:color="auto" w:fill="DEEAF6" w:themeFill="accent1" w:themeFillTint="33"/>
          </w:tcPr>
          <w:p w14:paraId="28FF795B" w14:textId="77777777" w:rsidR="00F55CD3" w:rsidRPr="00331929" w:rsidRDefault="00B66838" w:rsidP="00B8358C">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lang w:val="es-ES"/>
              </w:rPr>
            </w:pPr>
            <w:r w:rsidRPr="00331929">
              <w:rPr>
                <w:rFonts w:ascii="Times New Roman" w:eastAsiaTheme="minorEastAsia" w:hAnsi="Times New Roman" w:cs="Times New Roman"/>
                <w:color w:val="auto"/>
                <w:sz w:val="18"/>
                <w:szCs w:val="18"/>
                <w:lang w:val="es-ES"/>
              </w:rPr>
              <w:t>41,28</w:t>
            </w:r>
          </w:p>
        </w:tc>
      </w:tr>
      <w:tr w:rsidR="00331929" w:rsidRPr="00331929" w14:paraId="521F4A6E" w14:textId="77777777" w:rsidTr="006803AD">
        <w:trPr>
          <w:jc w:val="center"/>
        </w:trPr>
        <w:tc>
          <w:tcPr>
            <w:cnfStyle w:val="001000000000" w:firstRow="0" w:lastRow="0" w:firstColumn="1" w:lastColumn="0" w:oddVBand="0" w:evenVBand="0" w:oddHBand="0" w:evenHBand="0" w:firstRowFirstColumn="0" w:firstRowLastColumn="0" w:lastRowFirstColumn="0" w:lastRowLastColumn="0"/>
            <w:tcW w:w="1431" w:type="pct"/>
            <w:tcBorders>
              <w:top w:val="none" w:sz="0" w:space="0" w:color="auto"/>
              <w:left w:val="none" w:sz="0" w:space="0" w:color="auto"/>
              <w:bottom w:val="none" w:sz="0" w:space="0" w:color="auto"/>
              <w:right w:val="none" w:sz="0" w:space="0" w:color="auto"/>
            </w:tcBorders>
            <w:noWrap/>
          </w:tcPr>
          <w:p w14:paraId="72500232" w14:textId="77777777" w:rsidR="00F55CD3" w:rsidRPr="00331929" w:rsidRDefault="00F55CD3" w:rsidP="00AC03A4">
            <w:pPr>
              <w:jc w:val="both"/>
              <w:rPr>
                <w:rFonts w:ascii="Times New Roman" w:eastAsiaTheme="minorEastAsia" w:hAnsi="Times New Roman" w:cs="Times New Roman"/>
                <w:b/>
                <w:color w:val="auto"/>
                <w:sz w:val="18"/>
                <w:szCs w:val="18"/>
                <w:lang w:val="es-ES"/>
              </w:rPr>
            </w:pPr>
            <w:r w:rsidRPr="00331929">
              <w:rPr>
                <w:rFonts w:ascii="Times New Roman" w:eastAsiaTheme="minorEastAsia" w:hAnsi="Times New Roman" w:cs="Times New Roman"/>
                <w:b/>
                <w:color w:val="auto"/>
                <w:sz w:val="18"/>
                <w:szCs w:val="18"/>
                <w:lang w:val="es-ES"/>
              </w:rPr>
              <w:t>Ocupantes con Permiso</w:t>
            </w:r>
          </w:p>
        </w:tc>
        <w:tc>
          <w:tcPr>
            <w:tcW w:w="1070" w:type="pct"/>
          </w:tcPr>
          <w:p w14:paraId="027125CA" w14:textId="77777777" w:rsidR="00F55CD3" w:rsidRPr="00331929" w:rsidRDefault="00F55CD3" w:rsidP="00B8358C">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18"/>
                <w:szCs w:val="18"/>
                <w:lang w:val="es-ES"/>
              </w:rPr>
            </w:pPr>
            <w:r w:rsidRPr="00331929">
              <w:rPr>
                <w:rFonts w:ascii="Times New Roman" w:hAnsi="Times New Roman" w:cs="Times New Roman"/>
                <w:color w:val="auto"/>
                <w:sz w:val="18"/>
                <w:szCs w:val="18"/>
                <w:lang w:val="es-AR"/>
              </w:rPr>
              <w:t>49</w:t>
            </w:r>
            <w:r w:rsidR="000B3F60" w:rsidRPr="00331929">
              <w:rPr>
                <w:rFonts w:ascii="Times New Roman" w:hAnsi="Times New Roman" w:cs="Times New Roman"/>
                <w:color w:val="auto"/>
                <w:sz w:val="18"/>
                <w:szCs w:val="18"/>
                <w:lang w:val="es-AR"/>
              </w:rPr>
              <w:t>.</w:t>
            </w:r>
            <w:r w:rsidRPr="00331929">
              <w:rPr>
                <w:rFonts w:ascii="Times New Roman" w:hAnsi="Times New Roman" w:cs="Times New Roman"/>
                <w:color w:val="auto"/>
                <w:sz w:val="18"/>
                <w:szCs w:val="18"/>
                <w:lang w:val="es-AR"/>
              </w:rPr>
              <w:t>254,4</w:t>
            </w:r>
            <w:r w:rsidR="000B3F60" w:rsidRPr="00331929">
              <w:rPr>
                <w:rFonts w:ascii="Times New Roman" w:hAnsi="Times New Roman" w:cs="Times New Roman"/>
                <w:color w:val="auto"/>
                <w:sz w:val="18"/>
                <w:szCs w:val="18"/>
                <w:lang w:val="es-AR"/>
              </w:rPr>
              <w:t>0</w:t>
            </w:r>
          </w:p>
        </w:tc>
        <w:tc>
          <w:tcPr>
            <w:tcW w:w="950" w:type="pct"/>
          </w:tcPr>
          <w:p w14:paraId="49C35FF8" w14:textId="77777777" w:rsidR="00F55CD3" w:rsidRPr="00331929" w:rsidRDefault="00F55CD3" w:rsidP="00B8358C">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18"/>
                <w:szCs w:val="18"/>
                <w:lang w:val="es-ES"/>
              </w:rPr>
            </w:pPr>
            <w:r w:rsidRPr="00331929">
              <w:rPr>
                <w:rFonts w:ascii="Times New Roman" w:hAnsi="Times New Roman" w:cs="Times New Roman"/>
                <w:color w:val="auto"/>
                <w:sz w:val="18"/>
                <w:szCs w:val="18"/>
                <w:lang w:val="es-AR"/>
              </w:rPr>
              <w:t>15</w:t>
            </w:r>
            <w:r w:rsidR="000B3F60" w:rsidRPr="00331929">
              <w:rPr>
                <w:rFonts w:ascii="Times New Roman" w:hAnsi="Times New Roman" w:cs="Times New Roman"/>
                <w:color w:val="auto"/>
                <w:sz w:val="18"/>
                <w:szCs w:val="18"/>
                <w:lang w:val="es-AR"/>
              </w:rPr>
              <w:t>.</w:t>
            </w:r>
            <w:r w:rsidRPr="00331929">
              <w:rPr>
                <w:rFonts w:ascii="Times New Roman" w:hAnsi="Times New Roman" w:cs="Times New Roman"/>
                <w:color w:val="auto"/>
                <w:sz w:val="18"/>
                <w:szCs w:val="18"/>
                <w:lang w:val="es-AR"/>
              </w:rPr>
              <w:t>254,5</w:t>
            </w:r>
            <w:r w:rsidR="000B3F60" w:rsidRPr="00331929">
              <w:rPr>
                <w:rFonts w:ascii="Times New Roman" w:hAnsi="Times New Roman" w:cs="Times New Roman"/>
                <w:color w:val="auto"/>
                <w:sz w:val="18"/>
                <w:szCs w:val="18"/>
                <w:lang w:val="es-AR"/>
              </w:rPr>
              <w:t>0</w:t>
            </w:r>
          </w:p>
        </w:tc>
        <w:tc>
          <w:tcPr>
            <w:tcW w:w="951" w:type="pct"/>
          </w:tcPr>
          <w:p w14:paraId="67457FAA" w14:textId="77777777" w:rsidR="00F55CD3" w:rsidRPr="00331929" w:rsidRDefault="00F55CD3" w:rsidP="00B8358C">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18"/>
                <w:szCs w:val="18"/>
                <w:lang w:val="es-ES"/>
              </w:rPr>
            </w:pPr>
            <w:r w:rsidRPr="00331929">
              <w:rPr>
                <w:rFonts w:ascii="Times New Roman" w:eastAsiaTheme="minorEastAsia" w:hAnsi="Times New Roman" w:cs="Times New Roman"/>
                <w:color w:val="auto"/>
                <w:sz w:val="18"/>
                <w:szCs w:val="18"/>
                <w:lang w:val="es-ES"/>
              </w:rPr>
              <w:t>-33</w:t>
            </w:r>
            <w:r w:rsidR="000B3F60" w:rsidRPr="00331929">
              <w:rPr>
                <w:rFonts w:ascii="Times New Roman" w:eastAsiaTheme="minorEastAsia" w:hAnsi="Times New Roman" w:cs="Times New Roman"/>
                <w:color w:val="auto"/>
                <w:sz w:val="18"/>
                <w:szCs w:val="18"/>
                <w:lang w:val="es-ES"/>
              </w:rPr>
              <w:t>.</w:t>
            </w:r>
            <w:r w:rsidRPr="00331929">
              <w:rPr>
                <w:rFonts w:ascii="Times New Roman" w:eastAsiaTheme="minorEastAsia" w:hAnsi="Times New Roman" w:cs="Times New Roman"/>
                <w:color w:val="auto"/>
                <w:sz w:val="18"/>
                <w:szCs w:val="18"/>
                <w:lang w:val="es-ES"/>
              </w:rPr>
              <w:t>999,0</w:t>
            </w:r>
            <w:r w:rsidR="000B3F60" w:rsidRPr="00331929">
              <w:rPr>
                <w:rFonts w:ascii="Times New Roman" w:eastAsiaTheme="minorEastAsia" w:hAnsi="Times New Roman" w:cs="Times New Roman"/>
                <w:color w:val="auto"/>
                <w:sz w:val="18"/>
                <w:szCs w:val="18"/>
                <w:lang w:val="es-ES"/>
              </w:rPr>
              <w:t>0</w:t>
            </w:r>
          </w:p>
        </w:tc>
        <w:tc>
          <w:tcPr>
            <w:tcW w:w="598" w:type="pct"/>
          </w:tcPr>
          <w:p w14:paraId="703F940B" w14:textId="77777777" w:rsidR="00F55CD3" w:rsidRPr="00331929" w:rsidRDefault="00B66838" w:rsidP="00B8358C">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18"/>
                <w:szCs w:val="18"/>
                <w:lang w:val="es-ES"/>
              </w:rPr>
            </w:pPr>
            <w:r w:rsidRPr="00331929">
              <w:rPr>
                <w:rFonts w:ascii="Times New Roman" w:eastAsiaTheme="minorEastAsia" w:hAnsi="Times New Roman" w:cs="Times New Roman"/>
                <w:color w:val="auto"/>
                <w:sz w:val="18"/>
                <w:szCs w:val="18"/>
                <w:lang w:val="es-ES"/>
              </w:rPr>
              <w:t>-69,03</w:t>
            </w:r>
          </w:p>
        </w:tc>
      </w:tr>
      <w:tr w:rsidR="00331929" w:rsidRPr="00331929" w14:paraId="75B4D8A4" w14:textId="77777777" w:rsidTr="006803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1" w:type="pct"/>
            <w:tcBorders>
              <w:top w:val="none" w:sz="0" w:space="0" w:color="auto"/>
              <w:left w:val="none" w:sz="0" w:space="0" w:color="auto"/>
              <w:bottom w:val="none" w:sz="0" w:space="0" w:color="auto"/>
              <w:right w:val="none" w:sz="0" w:space="0" w:color="auto"/>
            </w:tcBorders>
            <w:shd w:val="clear" w:color="auto" w:fill="DEEAF6" w:themeFill="accent1" w:themeFillTint="33"/>
            <w:noWrap/>
          </w:tcPr>
          <w:p w14:paraId="15772F1C" w14:textId="77777777" w:rsidR="00F55CD3" w:rsidRPr="00331929" w:rsidRDefault="00F55CD3" w:rsidP="00AC03A4">
            <w:pPr>
              <w:jc w:val="both"/>
              <w:rPr>
                <w:rFonts w:ascii="Times New Roman" w:eastAsiaTheme="minorEastAsia" w:hAnsi="Times New Roman" w:cs="Times New Roman"/>
                <w:b/>
                <w:color w:val="auto"/>
                <w:sz w:val="18"/>
                <w:szCs w:val="18"/>
                <w:lang w:val="es-ES"/>
              </w:rPr>
            </w:pPr>
            <w:r w:rsidRPr="00331929">
              <w:rPr>
                <w:rFonts w:ascii="Times New Roman" w:eastAsiaTheme="minorEastAsia" w:hAnsi="Times New Roman" w:cs="Times New Roman"/>
                <w:b/>
                <w:color w:val="auto"/>
                <w:sz w:val="18"/>
                <w:szCs w:val="18"/>
                <w:lang w:val="es-ES"/>
              </w:rPr>
              <w:t>Ocupantes de hecho</w:t>
            </w:r>
          </w:p>
        </w:tc>
        <w:tc>
          <w:tcPr>
            <w:tcW w:w="1070" w:type="pct"/>
            <w:tcBorders>
              <w:top w:val="none" w:sz="0" w:space="0" w:color="auto"/>
              <w:left w:val="none" w:sz="0" w:space="0" w:color="auto"/>
              <w:bottom w:val="none" w:sz="0" w:space="0" w:color="auto"/>
              <w:right w:val="none" w:sz="0" w:space="0" w:color="auto"/>
            </w:tcBorders>
            <w:shd w:val="clear" w:color="auto" w:fill="DEEAF6" w:themeFill="accent1" w:themeFillTint="33"/>
          </w:tcPr>
          <w:p w14:paraId="18571426" w14:textId="77777777" w:rsidR="00F55CD3" w:rsidRPr="00331929" w:rsidRDefault="00F55CD3" w:rsidP="00B8358C">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lang w:val="es-ES"/>
              </w:rPr>
            </w:pPr>
            <w:r w:rsidRPr="00331929">
              <w:rPr>
                <w:rFonts w:ascii="Times New Roman" w:hAnsi="Times New Roman" w:cs="Times New Roman"/>
                <w:color w:val="auto"/>
                <w:sz w:val="18"/>
                <w:szCs w:val="18"/>
                <w:lang w:val="es-AR"/>
              </w:rPr>
              <w:t>43</w:t>
            </w:r>
            <w:r w:rsidR="000B3F60" w:rsidRPr="00331929">
              <w:rPr>
                <w:rFonts w:ascii="Times New Roman" w:hAnsi="Times New Roman" w:cs="Times New Roman"/>
                <w:color w:val="auto"/>
                <w:sz w:val="18"/>
                <w:szCs w:val="18"/>
                <w:lang w:val="es-AR"/>
              </w:rPr>
              <w:t>.</w:t>
            </w:r>
            <w:r w:rsidRPr="00331929">
              <w:rPr>
                <w:rFonts w:ascii="Times New Roman" w:hAnsi="Times New Roman" w:cs="Times New Roman"/>
                <w:color w:val="auto"/>
                <w:sz w:val="18"/>
                <w:szCs w:val="18"/>
                <w:lang w:val="es-AR"/>
              </w:rPr>
              <w:t>098,1</w:t>
            </w:r>
            <w:r w:rsidR="000B3F60" w:rsidRPr="00331929">
              <w:rPr>
                <w:rFonts w:ascii="Times New Roman" w:hAnsi="Times New Roman" w:cs="Times New Roman"/>
                <w:color w:val="auto"/>
                <w:sz w:val="18"/>
                <w:szCs w:val="18"/>
                <w:lang w:val="es-AR"/>
              </w:rPr>
              <w:t>0</w:t>
            </w:r>
          </w:p>
        </w:tc>
        <w:tc>
          <w:tcPr>
            <w:tcW w:w="950" w:type="pct"/>
            <w:tcBorders>
              <w:top w:val="none" w:sz="0" w:space="0" w:color="auto"/>
              <w:left w:val="none" w:sz="0" w:space="0" w:color="auto"/>
              <w:bottom w:val="none" w:sz="0" w:space="0" w:color="auto"/>
              <w:right w:val="none" w:sz="0" w:space="0" w:color="auto"/>
            </w:tcBorders>
            <w:shd w:val="clear" w:color="auto" w:fill="DEEAF6" w:themeFill="accent1" w:themeFillTint="33"/>
          </w:tcPr>
          <w:p w14:paraId="5FACBA83" w14:textId="77777777" w:rsidR="00F55CD3" w:rsidRPr="00331929" w:rsidRDefault="00F55CD3" w:rsidP="00B8358C">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lang w:val="es-ES"/>
              </w:rPr>
            </w:pPr>
            <w:r w:rsidRPr="00331929">
              <w:rPr>
                <w:rFonts w:ascii="Times New Roman" w:hAnsi="Times New Roman" w:cs="Times New Roman"/>
                <w:color w:val="auto"/>
                <w:sz w:val="18"/>
                <w:szCs w:val="18"/>
                <w:lang w:val="es-AR"/>
              </w:rPr>
              <w:t>176</w:t>
            </w:r>
            <w:r w:rsidR="000B3F60" w:rsidRPr="00331929">
              <w:rPr>
                <w:rFonts w:ascii="Times New Roman" w:hAnsi="Times New Roman" w:cs="Times New Roman"/>
                <w:color w:val="auto"/>
                <w:sz w:val="18"/>
                <w:szCs w:val="18"/>
                <w:lang w:val="es-AR"/>
              </w:rPr>
              <w:t>.</w:t>
            </w:r>
            <w:r w:rsidRPr="00331929">
              <w:rPr>
                <w:rFonts w:ascii="Times New Roman" w:hAnsi="Times New Roman" w:cs="Times New Roman"/>
                <w:color w:val="auto"/>
                <w:sz w:val="18"/>
                <w:szCs w:val="18"/>
                <w:lang w:val="es-AR"/>
              </w:rPr>
              <w:t>993,6</w:t>
            </w:r>
            <w:r w:rsidR="000B3F60" w:rsidRPr="00331929">
              <w:rPr>
                <w:rFonts w:ascii="Times New Roman" w:hAnsi="Times New Roman" w:cs="Times New Roman"/>
                <w:color w:val="auto"/>
                <w:sz w:val="18"/>
                <w:szCs w:val="18"/>
                <w:lang w:val="es-AR"/>
              </w:rPr>
              <w:t>0</w:t>
            </w:r>
          </w:p>
        </w:tc>
        <w:tc>
          <w:tcPr>
            <w:tcW w:w="951" w:type="pct"/>
            <w:tcBorders>
              <w:top w:val="none" w:sz="0" w:space="0" w:color="auto"/>
              <w:left w:val="none" w:sz="0" w:space="0" w:color="auto"/>
              <w:bottom w:val="none" w:sz="0" w:space="0" w:color="auto"/>
              <w:right w:val="none" w:sz="0" w:space="0" w:color="auto"/>
            </w:tcBorders>
            <w:shd w:val="clear" w:color="auto" w:fill="DEEAF6" w:themeFill="accent1" w:themeFillTint="33"/>
          </w:tcPr>
          <w:p w14:paraId="007C2316" w14:textId="77777777" w:rsidR="00F55CD3" w:rsidRPr="00331929" w:rsidRDefault="00F55CD3" w:rsidP="00B8358C">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lang w:val="es-ES"/>
              </w:rPr>
            </w:pPr>
            <w:r w:rsidRPr="00331929">
              <w:rPr>
                <w:rFonts w:ascii="Times New Roman" w:eastAsiaTheme="minorEastAsia" w:hAnsi="Times New Roman" w:cs="Times New Roman"/>
                <w:color w:val="auto"/>
                <w:sz w:val="18"/>
                <w:szCs w:val="18"/>
                <w:lang w:val="es-ES"/>
              </w:rPr>
              <w:t>133</w:t>
            </w:r>
            <w:r w:rsidR="000B3F60" w:rsidRPr="00331929">
              <w:rPr>
                <w:rFonts w:ascii="Times New Roman" w:eastAsiaTheme="minorEastAsia" w:hAnsi="Times New Roman" w:cs="Times New Roman"/>
                <w:color w:val="auto"/>
                <w:sz w:val="18"/>
                <w:szCs w:val="18"/>
                <w:lang w:val="es-ES"/>
              </w:rPr>
              <w:t>.</w:t>
            </w:r>
            <w:r w:rsidRPr="00331929">
              <w:rPr>
                <w:rFonts w:ascii="Times New Roman" w:eastAsiaTheme="minorEastAsia" w:hAnsi="Times New Roman" w:cs="Times New Roman"/>
                <w:color w:val="auto"/>
                <w:sz w:val="18"/>
                <w:szCs w:val="18"/>
                <w:lang w:val="es-ES"/>
              </w:rPr>
              <w:t>895,5</w:t>
            </w:r>
            <w:r w:rsidR="000B3F60" w:rsidRPr="00331929">
              <w:rPr>
                <w:rFonts w:ascii="Times New Roman" w:eastAsiaTheme="minorEastAsia" w:hAnsi="Times New Roman" w:cs="Times New Roman"/>
                <w:color w:val="auto"/>
                <w:sz w:val="18"/>
                <w:szCs w:val="18"/>
                <w:lang w:val="es-ES"/>
              </w:rPr>
              <w:t>0</w:t>
            </w:r>
          </w:p>
        </w:tc>
        <w:tc>
          <w:tcPr>
            <w:tcW w:w="598" w:type="pct"/>
            <w:tcBorders>
              <w:top w:val="none" w:sz="0" w:space="0" w:color="auto"/>
              <w:left w:val="none" w:sz="0" w:space="0" w:color="auto"/>
              <w:bottom w:val="none" w:sz="0" w:space="0" w:color="auto"/>
            </w:tcBorders>
            <w:shd w:val="clear" w:color="auto" w:fill="DEEAF6" w:themeFill="accent1" w:themeFillTint="33"/>
          </w:tcPr>
          <w:p w14:paraId="355AC142" w14:textId="77777777" w:rsidR="00F55CD3" w:rsidRPr="00331929" w:rsidRDefault="00B66838" w:rsidP="00B8358C">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lang w:val="es-ES"/>
              </w:rPr>
            </w:pPr>
            <w:r w:rsidRPr="00331929">
              <w:rPr>
                <w:rFonts w:ascii="Times New Roman" w:eastAsiaTheme="minorEastAsia" w:hAnsi="Times New Roman" w:cs="Times New Roman"/>
                <w:color w:val="auto"/>
                <w:sz w:val="18"/>
                <w:szCs w:val="18"/>
                <w:lang w:val="es-ES"/>
              </w:rPr>
              <w:t>310,68</w:t>
            </w:r>
          </w:p>
        </w:tc>
      </w:tr>
      <w:tr w:rsidR="00331929" w:rsidRPr="00331929" w14:paraId="58C3D384" w14:textId="77777777" w:rsidTr="006803AD">
        <w:trPr>
          <w:jc w:val="center"/>
        </w:trPr>
        <w:tc>
          <w:tcPr>
            <w:cnfStyle w:val="001000000000" w:firstRow="0" w:lastRow="0" w:firstColumn="1" w:lastColumn="0" w:oddVBand="0" w:evenVBand="0" w:oddHBand="0" w:evenHBand="0" w:firstRowFirstColumn="0" w:firstRowLastColumn="0" w:lastRowFirstColumn="0" w:lastRowLastColumn="0"/>
            <w:tcW w:w="1431" w:type="pct"/>
            <w:tcBorders>
              <w:top w:val="none" w:sz="0" w:space="0" w:color="auto"/>
              <w:left w:val="none" w:sz="0" w:space="0" w:color="auto"/>
              <w:bottom w:val="none" w:sz="0" w:space="0" w:color="auto"/>
              <w:right w:val="none" w:sz="0" w:space="0" w:color="auto"/>
            </w:tcBorders>
            <w:noWrap/>
          </w:tcPr>
          <w:p w14:paraId="35E804DA" w14:textId="77777777" w:rsidR="00F55CD3" w:rsidRPr="00331929" w:rsidRDefault="00F55CD3" w:rsidP="00AC03A4">
            <w:pPr>
              <w:jc w:val="both"/>
              <w:rPr>
                <w:rFonts w:ascii="Times New Roman" w:eastAsiaTheme="minorEastAsia" w:hAnsi="Times New Roman" w:cs="Times New Roman"/>
                <w:b/>
                <w:color w:val="auto"/>
                <w:sz w:val="18"/>
                <w:szCs w:val="18"/>
                <w:lang w:val="es-ES"/>
              </w:rPr>
            </w:pPr>
            <w:r w:rsidRPr="00331929">
              <w:rPr>
                <w:rFonts w:ascii="Times New Roman" w:eastAsiaTheme="minorEastAsia" w:hAnsi="Times New Roman" w:cs="Times New Roman"/>
                <w:b/>
                <w:color w:val="auto"/>
                <w:sz w:val="18"/>
                <w:szCs w:val="18"/>
                <w:lang w:val="es-ES"/>
              </w:rPr>
              <w:t>Contrato Accidental</w:t>
            </w:r>
          </w:p>
        </w:tc>
        <w:tc>
          <w:tcPr>
            <w:tcW w:w="1070" w:type="pct"/>
          </w:tcPr>
          <w:p w14:paraId="210EE568" w14:textId="49C68412" w:rsidR="00F55CD3" w:rsidRPr="00331929" w:rsidRDefault="00F55CD3" w:rsidP="00B8358C">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18"/>
                <w:szCs w:val="18"/>
                <w:lang w:val="es-ES"/>
              </w:rPr>
            </w:pPr>
            <w:r w:rsidRPr="00331929">
              <w:rPr>
                <w:rFonts w:ascii="Times New Roman" w:hAnsi="Times New Roman" w:cs="Times New Roman"/>
                <w:color w:val="auto"/>
                <w:sz w:val="18"/>
                <w:szCs w:val="18"/>
                <w:lang w:val="es-AR"/>
              </w:rPr>
              <w:t>73</w:t>
            </w:r>
            <w:r w:rsidR="000B3F60" w:rsidRPr="00331929">
              <w:rPr>
                <w:rFonts w:ascii="Times New Roman" w:hAnsi="Times New Roman" w:cs="Times New Roman"/>
                <w:color w:val="auto"/>
                <w:sz w:val="18"/>
                <w:szCs w:val="18"/>
                <w:lang w:val="es-AR"/>
              </w:rPr>
              <w:t>.</w:t>
            </w:r>
            <w:r w:rsidR="00B8358C">
              <w:rPr>
                <w:rFonts w:ascii="Times New Roman" w:hAnsi="Times New Roman" w:cs="Times New Roman"/>
                <w:color w:val="auto"/>
                <w:sz w:val="18"/>
                <w:szCs w:val="18"/>
                <w:lang w:val="es-AR"/>
              </w:rPr>
              <w:t>580,</w:t>
            </w:r>
            <w:r w:rsidRPr="00331929">
              <w:rPr>
                <w:rFonts w:ascii="Times New Roman" w:hAnsi="Times New Roman" w:cs="Times New Roman"/>
                <w:color w:val="auto"/>
                <w:sz w:val="18"/>
                <w:szCs w:val="18"/>
                <w:lang w:val="es-AR"/>
              </w:rPr>
              <w:t>4</w:t>
            </w:r>
            <w:r w:rsidR="000B3F60" w:rsidRPr="00331929">
              <w:rPr>
                <w:rFonts w:ascii="Times New Roman" w:hAnsi="Times New Roman" w:cs="Times New Roman"/>
                <w:color w:val="auto"/>
                <w:sz w:val="18"/>
                <w:szCs w:val="18"/>
                <w:lang w:val="es-AR"/>
              </w:rPr>
              <w:t>0</w:t>
            </w:r>
          </w:p>
        </w:tc>
        <w:tc>
          <w:tcPr>
            <w:tcW w:w="950" w:type="pct"/>
          </w:tcPr>
          <w:p w14:paraId="538381D3" w14:textId="77777777" w:rsidR="00F55CD3" w:rsidRPr="00331929" w:rsidRDefault="00F55CD3" w:rsidP="00B8358C">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18"/>
                <w:szCs w:val="18"/>
                <w:lang w:val="es-ES"/>
              </w:rPr>
            </w:pPr>
            <w:r w:rsidRPr="00331929">
              <w:rPr>
                <w:rFonts w:ascii="Times New Roman" w:hAnsi="Times New Roman" w:cs="Times New Roman"/>
                <w:color w:val="auto"/>
                <w:sz w:val="18"/>
                <w:szCs w:val="18"/>
                <w:lang w:val="es-AR"/>
              </w:rPr>
              <w:t>343,7</w:t>
            </w:r>
            <w:r w:rsidR="000B3F60" w:rsidRPr="00331929">
              <w:rPr>
                <w:rFonts w:ascii="Times New Roman" w:hAnsi="Times New Roman" w:cs="Times New Roman"/>
                <w:color w:val="auto"/>
                <w:sz w:val="18"/>
                <w:szCs w:val="18"/>
                <w:lang w:val="es-AR"/>
              </w:rPr>
              <w:t>0</w:t>
            </w:r>
          </w:p>
        </w:tc>
        <w:tc>
          <w:tcPr>
            <w:tcW w:w="951" w:type="pct"/>
          </w:tcPr>
          <w:p w14:paraId="77185A95" w14:textId="77777777" w:rsidR="00F55CD3" w:rsidRPr="00331929" w:rsidRDefault="00F55CD3" w:rsidP="00B8358C">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18"/>
                <w:szCs w:val="18"/>
                <w:lang w:val="es-ES"/>
              </w:rPr>
            </w:pPr>
            <w:r w:rsidRPr="00331929">
              <w:rPr>
                <w:rFonts w:ascii="Times New Roman" w:eastAsiaTheme="minorEastAsia" w:hAnsi="Times New Roman" w:cs="Times New Roman"/>
                <w:color w:val="auto"/>
                <w:sz w:val="18"/>
                <w:szCs w:val="18"/>
                <w:lang w:val="es-ES"/>
              </w:rPr>
              <w:t>-73</w:t>
            </w:r>
            <w:r w:rsidR="000B3F60" w:rsidRPr="00331929">
              <w:rPr>
                <w:rFonts w:ascii="Times New Roman" w:eastAsiaTheme="minorEastAsia" w:hAnsi="Times New Roman" w:cs="Times New Roman"/>
                <w:color w:val="auto"/>
                <w:sz w:val="18"/>
                <w:szCs w:val="18"/>
                <w:lang w:val="es-ES"/>
              </w:rPr>
              <w:t>.</w:t>
            </w:r>
            <w:r w:rsidRPr="00331929">
              <w:rPr>
                <w:rFonts w:ascii="Times New Roman" w:eastAsiaTheme="minorEastAsia" w:hAnsi="Times New Roman" w:cs="Times New Roman"/>
                <w:color w:val="auto"/>
                <w:sz w:val="18"/>
                <w:szCs w:val="18"/>
                <w:lang w:val="es-ES"/>
              </w:rPr>
              <w:t>236,7</w:t>
            </w:r>
            <w:r w:rsidR="000B3F60" w:rsidRPr="00331929">
              <w:rPr>
                <w:rFonts w:ascii="Times New Roman" w:eastAsiaTheme="minorEastAsia" w:hAnsi="Times New Roman" w:cs="Times New Roman"/>
                <w:color w:val="auto"/>
                <w:sz w:val="18"/>
                <w:szCs w:val="18"/>
                <w:lang w:val="es-ES"/>
              </w:rPr>
              <w:t>0</w:t>
            </w:r>
          </w:p>
        </w:tc>
        <w:tc>
          <w:tcPr>
            <w:tcW w:w="598" w:type="pct"/>
          </w:tcPr>
          <w:p w14:paraId="7C580BA6" w14:textId="77777777" w:rsidR="00F55CD3" w:rsidRPr="00331929" w:rsidRDefault="00B66838" w:rsidP="00B8358C">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18"/>
                <w:szCs w:val="18"/>
                <w:lang w:val="es-ES"/>
              </w:rPr>
            </w:pPr>
            <w:r w:rsidRPr="00331929">
              <w:rPr>
                <w:rFonts w:ascii="Times New Roman" w:eastAsiaTheme="minorEastAsia" w:hAnsi="Times New Roman" w:cs="Times New Roman"/>
                <w:color w:val="auto"/>
                <w:sz w:val="18"/>
                <w:szCs w:val="18"/>
                <w:lang w:val="es-ES"/>
              </w:rPr>
              <w:t>-99,53</w:t>
            </w:r>
          </w:p>
        </w:tc>
      </w:tr>
      <w:tr w:rsidR="00F55CD3" w:rsidRPr="00331929" w14:paraId="151E468B" w14:textId="77777777" w:rsidTr="006803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1" w:type="pct"/>
            <w:tcBorders>
              <w:top w:val="none" w:sz="0" w:space="0" w:color="auto"/>
              <w:left w:val="none" w:sz="0" w:space="0" w:color="auto"/>
              <w:bottom w:val="none" w:sz="0" w:space="0" w:color="auto"/>
              <w:right w:val="none" w:sz="0" w:space="0" w:color="auto"/>
            </w:tcBorders>
            <w:shd w:val="clear" w:color="auto" w:fill="DEEAF6" w:themeFill="accent1" w:themeFillTint="33"/>
            <w:noWrap/>
          </w:tcPr>
          <w:p w14:paraId="6B9664AA" w14:textId="77777777" w:rsidR="00F55CD3" w:rsidRPr="00331929" w:rsidRDefault="00F55CD3" w:rsidP="00AC03A4">
            <w:pPr>
              <w:jc w:val="both"/>
              <w:rPr>
                <w:rFonts w:ascii="Times New Roman" w:eastAsiaTheme="minorEastAsia" w:hAnsi="Times New Roman" w:cs="Times New Roman"/>
                <w:b/>
                <w:color w:val="auto"/>
                <w:sz w:val="18"/>
                <w:szCs w:val="18"/>
                <w:lang w:val="es-ES"/>
              </w:rPr>
            </w:pPr>
            <w:r w:rsidRPr="00331929">
              <w:rPr>
                <w:rFonts w:ascii="Times New Roman" w:eastAsiaTheme="minorEastAsia" w:hAnsi="Times New Roman" w:cs="Times New Roman"/>
                <w:b/>
                <w:color w:val="auto"/>
                <w:sz w:val="18"/>
                <w:szCs w:val="18"/>
                <w:lang w:val="es-ES"/>
              </w:rPr>
              <w:t>Otros</w:t>
            </w:r>
          </w:p>
        </w:tc>
        <w:tc>
          <w:tcPr>
            <w:tcW w:w="1070" w:type="pct"/>
            <w:tcBorders>
              <w:top w:val="none" w:sz="0" w:space="0" w:color="auto"/>
              <w:left w:val="none" w:sz="0" w:space="0" w:color="auto"/>
              <w:bottom w:val="none" w:sz="0" w:space="0" w:color="auto"/>
              <w:right w:val="none" w:sz="0" w:space="0" w:color="auto"/>
            </w:tcBorders>
            <w:shd w:val="clear" w:color="auto" w:fill="DEEAF6" w:themeFill="accent1" w:themeFillTint="33"/>
          </w:tcPr>
          <w:p w14:paraId="03A0B550" w14:textId="77777777" w:rsidR="00F55CD3" w:rsidRPr="00331929" w:rsidRDefault="00F55CD3" w:rsidP="00B8358C">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lang w:val="es-ES"/>
              </w:rPr>
            </w:pPr>
            <w:r w:rsidRPr="00331929">
              <w:rPr>
                <w:rFonts w:ascii="Times New Roman" w:hAnsi="Times New Roman" w:cs="Times New Roman"/>
                <w:color w:val="auto"/>
                <w:sz w:val="18"/>
                <w:szCs w:val="18"/>
                <w:lang w:val="es-AR"/>
              </w:rPr>
              <w:t>46.009,10</w:t>
            </w:r>
          </w:p>
        </w:tc>
        <w:tc>
          <w:tcPr>
            <w:tcW w:w="950" w:type="pct"/>
            <w:tcBorders>
              <w:top w:val="none" w:sz="0" w:space="0" w:color="auto"/>
              <w:left w:val="none" w:sz="0" w:space="0" w:color="auto"/>
              <w:bottom w:val="none" w:sz="0" w:space="0" w:color="auto"/>
              <w:right w:val="none" w:sz="0" w:space="0" w:color="auto"/>
            </w:tcBorders>
            <w:shd w:val="clear" w:color="auto" w:fill="DEEAF6" w:themeFill="accent1" w:themeFillTint="33"/>
          </w:tcPr>
          <w:p w14:paraId="475872BD" w14:textId="77777777" w:rsidR="00F55CD3" w:rsidRPr="00331929" w:rsidRDefault="00F55CD3" w:rsidP="00B8358C">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lang w:val="es-ES"/>
              </w:rPr>
            </w:pPr>
            <w:r w:rsidRPr="00331929">
              <w:rPr>
                <w:rFonts w:ascii="Times New Roman" w:hAnsi="Times New Roman" w:cs="Times New Roman"/>
                <w:color w:val="auto"/>
                <w:sz w:val="18"/>
                <w:szCs w:val="18"/>
                <w:lang w:val="es-AR"/>
              </w:rPr>
              <w:t>337</w:t>
            </w:r>
            <w:r w:rsidR="000B3F60" w:rsidRPr="00331929">
              <w:rPr>
                <w:rFonts w:ascii="Times New Roman" w:hAnsi="Times New Roman" w:cs="Times New Roman"/>
                <w:color w:val="auto"/>
                <w:sz w:val="18"/>
                <w:szCs w:val="18"/>
                <w:lang w:val="es-AR"/>
              </w:rPr>
              <w:t>.</w:t>
            </w:r>
            <w:r w:rsidRPr="00331929">
              <w:rPr>
                <w:rFonts w:ascii="Times New Roman" w:hAnsi="Times New Roman" w:cs="Times New Roman"/>
                <w:color w:val="auto"/>
                <w:sz w:val="18"/>
                <w:szCs w:val="18"/>
                <w:lang w:val="es-AR"/>
              </w:rPr>
              <w:t>846,4</w:t>
            </w:r>
            <w:r w:rsidR="000B3F60" w:rsidRPr="00331929">
              <w:rPr>
                <w:rFonts w:ascii="Times New Roman" w:hAnsi="Times New Roman" w:cs="Times New Roman"/>
                <w:color w:val="auto"/>
                <w:sz w:val="18"/>
                <w:szCs w:val="18"/>
                <w:lang w:val="es-AR"/>
              </w:rPr>
              <w:t>0</w:t>
            </w:r>
          </w:p>
        </w:tc>
        <w:tc>
          <w:tcPr>
            <w:tcW w:w="951" w:type="pct"/>
            <w:tcBorders>
              <w:top w:val="none" w:sz="0" w:space="0" w:color="auto"/>
              <w:left w:val="none" w:sz="0" w:space="0" w:color="auto"/>
              <w:bottom w:val="none" w:sz="0" w:space="0" w:color="auto"/>
              <w:right w:val="none" w:sz="0" w:space="0" w:color="auto"/>
            </w:tcBorders>
            <w:shd w:val="clear" w:color="auto" w:fill="DEEAF6" w:themeFill="accent1" w:themeFillTint="33"/>
          </w:tcPr>
          <w:p w14:paraId="27368ABD" w14:textId="77777777" w:rsidR="00F55CD3" w:rsidRPr="00331929" w:rsidRDefault="00F55CD3" w:rsidP="00B8358C">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lang w:val="es-ES"/>
              </w:rPr>
            </w:pPr>
            <w:r w:rsidRPr="00331929">
              <w:rPr>
                <w:rFonts w:ascii="Times New Roman" w:eastAsiaTheme="minorEastAsia" w:hAnsi="Times New Roman" w:cs="Times New Roman"/>
                <w:color w:val="auto"/>
                <w:sz w:val="18"/>
                <w:szCs w:val="18"/>
                <w:lang w:val="es-ES"/>
              </w:rPr>
              <w:t>291</w:t>
            </w:r>
            <w:r w:rsidR="000B3F60" w:rsidRPr="00331929">
              <w:rPr>
                <w:rFonts w:ascii="Times New Roman" w:eastAsiaTheme="minorEastAsia" w:hAnsi="Times New Roman" w:cs="Times New Roman"/>
                <w:color w:val="auto"/>
                <w:sz w:val="18"/>
                <w:szCs w:val="18"/>
                <w:lang w:val="es-ES"/>
              </w:rPr>
              <w:t>.</w:t>
            </w:r>
            <w:r w:rsidRPr="00331929">
              <w:rPr>
                <w:rFonts w:ascii="Times New Roman" w:eastAsiaTheme="minorEastAsia" w:hAnsi="Times New Roman" w:cs="Times New Roman"/>
                <w:color w:val="auto"/>
                <w:sz w:val="18"/>
                <w:szCs w:val="18"/>
                <w:lang w:val="es-ES"/>
              </w:rPr>
              <w:t>837,3</w:t>
            </w:r>
            <w:r w:rsidR="000B3F60" w:rsidRPr="00331929">
              <w:rPr>
                <w:rFonts w:ascii="Times New Roman" w:eastAsiaTheme="minorEastAsia" w:hAnsi="Times New Roman" w:cs="Times New Roman"/>
                <w:color w:val="auto"/>
                <w:sz w:val="18"/>
                <w:szCs w:val="18"/>
                <w:lang w:val="es-ES"/>
              </w:rPr>
              <w:t>0</w:t>
            </w:r>
          </w:p>
        </w:tc>
        <w:tc>
          <w:tcPr>
            <w:tcW w:w="598" w:type="pct"/>
            <w:tcBorders>
              <w:top w:val="none" w:sz="0" w:space="0" w:color="auto"/>
              <w:left w:val="none" w:sz="0" w:space="0" w:color="auto"/>
              <w:bottom w:val="none" w:sz="0" w:space="0" w:color="auto"/>
            </w:tcBorders>
            <w:shd w:val="clear" w:color="auto" w:fill="DEEAF6" w:themeFill="accent1" w:themeFillTint="33"/>
          </w:tcPr>
          <w:p w14:paraId="72753279" w14:textId="77777777" w:rsidR="00F55CD3" w:rsidRPr="00331929" w:rsidRDefault="00B66838" w:rsidP="00B8358C">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lang w:val="es-ES"/>
              </w:rPr>
            </w:pPr>
            <w:r w:rsidRPr="00331929">
              <w:rPr>
                <w:rFonts w:ascii="Times New Roman" w:eastAsiaTheme="minorEastAsia" w:hAnsi="Times New Roman" w:cs="Times New Roman"/>
                <w:color w:val="auto"/>
                <w:sz w:val="18"/>
                <w:szCs w:val="18"/>
                <w:lang w:val="es-ES"/>
              </w:rPr>
              <w:t>634.30</w:t>
            </w:r>
          </w:p>
        </w:tc>
      </w:tr>
    </w:tbl>
    <w:p w14:paraId="4584FC44" w14:textId="77777777" w:rsidR="0031270D" w:rsidRPr="00331929" w:rsidRDefault="005E3037" w:rsidP="006803AD">
      <w:pPr>
        <w:jc w:val="center"/>
        <w:rPr>
          <w:rFonts w:ascii="Times New Roman" w:hAnsi="Times New Roman" w:cs="Times New Roman"/>
          <w:sz w:val="20"/>
          <w:szCs w:val="20"/>
          <w:lang w:val="es-AR"/>
        </w:rPr>
      </w:pPr>
      <w:r w:rsidRPr="00331929">
        <w:rPr>
          <w:rFonts w:ascii="Times New Roman" w:hAnsi="Times New Roman" w:cs="Times New Roman"/>
          <w:sz w:val="20"/>
          <w:szCs w:val="20"/>
          <w:lang w:val="es-AR"/>
        </w:rPr>
        <w:t xml:space="preserve">Fuente: Elaboración </w:t>
      </w:r>
      <w:r w:rsidR="00FA35A4" w:rsidRPr="00331929">
        <w:rPr>
          <w:rFonts w:ascii="Times New Roman" w:hAnsi="Times New Roman" w:cs="Times New Roman"/>
          <w:sz w:val="20"/>
          <w:szCs w:val="20"/>
          <w:lang w:val="es-AR"/>
        </w:rPr>
        <w:t xml:space="preserve">propia </w:t>
      </w:r>
      <w:r w:rsidRPr="00331929">
        <w:rPr>
          <w:rFonts w:ascii="Times New Roman" w:hAnsi="Times New Roman" w:cs="Times New Roman"/>
          <w:sz w:val="20"/>
          <w:szCs w:val="20"/>
          <w:lang w:val="es-AR"/>
        </w:rPr>
        <w:t>en base a INDEC CNA-18 (res</w:t>
      </w:r>
      <w:r w:rsidR="000B3F60" w:rsidRPr="00331929">
        <w:rPr>
          <w:rFonts w:ascii="Times New Roman" w:hAnsi="Times New Roman" w:cs="Times New Roman"/>
          <w:sz w:val="20"/>
          <w:szCs w:val="20"/>
          <w:lang w:val="es-AR"/>
        </w:rPr>
        <w:t>ultados</w:t>
      </w:r>
      <w:r w:rsidRPr="00331929">
        <w:rPr>
          <w:rFonts w:ascii="Times New Roman" w:hAnsi="Times New Roman" w:cs="Times New Roman"/>
          <w:sz w:val="20"/>
          <w:szCs w:val="20"/>
          <w:lang w:val="es-AR"/>
        </w:rPr>
        <w:t xml:space="preserve"> preliminares) y CNA-02</w:t>
      </w:r>
    </w:p>
    <w:p w14:paraId="19CE9845" w14:textId="4479AD6F" w:rsidR="00DF33CB" w:rsidRPr="00331929" w:rsidRDefault="002A0C65" w:rsidP="00AC03A4">
      <w:pPr>
        <w:spacing w:after="0"/>
        <w:ind w:firstLine="720"/>
        <w:jc w:val="both"/>
        <w:rPr>
          <w:rFonts w:ascii="Times New Roman" w:hAnsi="Times New Roman" w:cs="Times New Roman"/>
          <w:lang w:val="es-AR"/>
        </w:rPr>
      </w:pPr>
      <w:r w:rsidRPr="00331929">
        <w:rPr>
          <w:rFonts w:ascii="Times New Roman" w:hAnsi="Times New Roman" w:cs="Times New Roman"/>
          <w:lang w:val="es-AR"/>
        </w:rPr>
        <w:t xml:space="preserve">De acuerdo </w:t>
      </w:r>
      <w:r w:rsidR="00B06497">
        <w:rPr>
          <w:rFonts w:ascii="Times New Roman" w:hAnsi="Times New Roman" w:cs="Times New Roman"/>
          <w:lang w:val="es-AR"/>
        </w:rPr>
        <w:t>con</w:t>
      </w:r>
      <w:r w:rsidRPr="00331929">
        <w:rPr>
          <w:rFonts w:ascii="Times New Roman" w:hAnsi="Times New Roman" w:cs="Times New Roman"/>
          <w:lang w:val="es-AR"/>
        </w:rPr>
        <w:t xml:space="preserve"> la información plasmada en este cuadro podemos realizar algunas consideraciones</w:t>
      </w:r>
      <w:r w:rsidR="00DF33CB" w:rsidRPr="00331929">
        <w:rPr>
          <w:rFonts w:ascii="Times New Roman" w:hAnsi="Times New Roman" w:cs="Times New Roman"/>
          <w:lang w:val="es-AR"/>
        </w:rPr>
        <w:t>. E</w:t>
      </w:r>
      <w:r w:rsidR="004C5968" w:rsidRPr="00331929">
        <w:rPr>
          <w:rFonts w:ascii="Times New Roman" w:hAnsi="Times New Roman" w:cs="Times New Roman"/>
          <w:lang w:val="es-AR"/>
        </w:rPr>
        <w:t xml:space="preserve">n primer </w:t>
      </w:r>
      <w:r w:rsidR="00402E2A" w:rsidRPr="00331929">
        <w:rPr>
          <w:rFonts w:ascii="Times New Roman" w:hAnsi="Times New Roman" w:cs="Times New Roman"/>
          <w:lang w:val="es-AR"/>
        </w:rPr>
        <w:t>lugar,</w:t>
      </w:r>
      <w:r w:rsidR="004C5968" w:rsidRPr="00331929">
        <w:rPr>
          <w:rFonts w:ascii="Times New Roman" w:hAnsi="Times New Roman" w:cs="Times New Roman"/>
          <w:lang w:val="es-AR"/>
        </w:rPr>
        <w:t xml:space="preserve"> llama la atención l</w:t>
      </w:r>
      <w:r w:rsidR="002D3256" w:rsidRPr="00331929">
        <w:rPr>
          <w:rFonts w:ascii="Times New Roman" w:hAnsi="Times New Roman" w:cs="Times New Roman"/>
          <w:lang w:val="es-AR"/>
        </w:rPr>
        <w:t xml:space="preserve">a disminución de </w:t>
      </w:r>
      <w:r w:rsidR="008D0E77">
        <w:rPr>
          <w:rFonts w:ascii="Times New Roman" w:hAnsi="Times New Roman" w:cs="Times New Roman"/>
          <w:lang w:val="es-AR"/>
        </w:rPr>
        <w:t xml:space="preserve">la </w:t>
      </w:r>
      <w:r w:rsidR="002D3256" w:rsidRPr="00331929">
        <w:rPr>
          <w:rFonts w:ascii="Times New Roman" w:hAnsi="Times New Roman" w:cs="Times New Roman"/>
          <w:i/>
          <w:lang w:val="es-AR"/>
        </w:rPr>
        <w:t>S</w:t>
      </w:r>
      <w:r w:rsidR="00414240" w:rsidRPr="00331929">
        <w:rPr>
          <w:rFonts w:ascii="Times New Roman" w:hAnsi="Times New Roman" w:cs="Times New Roman"/>
          <w:i/>
          <w:lang w:val="es-AR"/>
        </w:rPr>
        <w:t xml:space="preserve">uperficie en </w:t>
      </w:r>
      <w:r w:rsidR="00402E2A" w:rsidRPr="00331929">
        <w:rPr>
          <w:rFonts w:ascii="Times New Roman" w:hAnsi="Times New Roman" w:cs="Times New Roman"/>
          <w:i/>
          <w:lang w:val="es-AR"/>
        </w:rPr>
        <w:t>p</w:t>
      </w:r>
      <w:r w:rsidR="004C5968" w:rsidRPr="00331929">
        <w:rPr>
          <w:rFonts w:ascii="Times New Roman" w:hAnsi="Times New Roman" w:cs="Times New Roman"/>
          <w:i/>
          <w:lang w:val="es-AR"/>
        </w:rPr>
        <w:t>ropiedad</w:t>
      </w:r>
      <w:r w:rsidR="004C5968" w:rsidRPr="00331929">
        <w:rPr>
          <w:rFonts w:ascii="Times New Roman" w:hAnsi="Times New Roman" w:cs="Times New Roman"/>
          <w:lang w:val="es-AR"/>
        </w:rPr>
        <w:t>, situación de tenencia predomínate en los sujetos agrario</w:t>
      </w:r>
      <w:r w:rsidR="00414240" w:rsidRPr="00331929">
        <w:rPr>
          <w:rFonts w:ascii="Times New Roman" w:hAnsi="Times New Roman" w:cs="Times New Roman"/>
          <w:lang w:val="es-AR"/>
        </w:rPr>
        <w:t>s</w:t>
      </w:r>
      <w:r w:rsidR="004C5968" w:rsidRPr="00331929">
        <w:rPr>
          <w:rFonts w:ascii="Times New Roman" w:hAnsi="Times New Roman" w:cs="Times New Roman"/>
          <w:lang w:val="es-AR"/>
        </w:rPr>
        <w:t xml:space="preserve"> </w:t>
      </w:r>
      <w:r w:rsidR="00402E2A" w:rsidRPr="00331929">
        <w:rPr>
          <w:rFonts w:ascii="Times New Roman" w:hAnsi="Times New Roman" w:cs="Times New Roman"/>
          <w:lang w:val="es-AR"/>
        </w:rPr>
        <w:t>empresariales,</w:t>
      </w:r>
      <w:r w:rsidR="004C5968" w:rsidRPr="00331929">
        <w:rPr>
          <w:rFonts w:ascii="Times New Roman" w:hAnsi="Times New Roman" w:cs="Times New Roman"/>
          <w:lang w:val="es-AR"/>
        </w:rPr>
        <w:t xml:space="preserve"> </w:t>
      </w:r>
      <w:r w:rsidR="008D0E77">
        <w:rPr>
          <w:rFonts w:ascii="Times New Roman" w:hAnsi="Times New Roman" w:cs="Times New Roman"/>
          <w:lang w:val="es-AR"/>
        </w:rPr>
        <w:t xml:space="preserve">puesto que </w:t>
      </w:r>
      <w:r w:rsidR="004C5968" w:rsidRPr="00331929">
        <w:rPr>
          <w:rFonts w:ascii="Times New Roman" w:hAnsi="Times New Roman" w:cs="Times New Roman"/>
          <w:lang w:val="es-AR"/>
        </w:rPr>
        <w:t xml:space="preserve">la mayoría de los sujetos de la Agricultura </w:t>
      </w:r>
      <w:r w:rsidR="00175352" w:rsidRPr="00331929">
        <w:rPr>
          <w:rFonts w:ascii="Times New Roman" w:hAnsi="Times New Roman" w:cs="Times New Roman"/>
          <w:lang w:val="es-AR"/>
        </w:rPr>
        <w:t>Familiar</w:t>
      </w:r>
      <w:r w:rsidR="00402E2A" w:rsidRPr="00331929">
        <w:rPr>
          <w:rFonts w:ascii="Times New Roman" w:hAnsi="Times New Roman" w:cs="Times New Roman"/>
          <w:lang w:val="es-AR"/>
        </w:rPr>
        <w:t xml:space="preserve"> adolece</w:t>
      </w:r>
      <w:r w:rsidR="00414240" w:rsidRPr="00331929">
        <w:rPr>
          <w:rFonts w:ascii="Times New Roman" w:hAnsi="Times New Roman" w:cs="Times New Roman"/>
          <w:lang w:val="es-AR"/>
        </w:rPr>
        <w:t xml:space="preserve"> de la titularidad de la tierra</w:t>
      </w:r>
      <w:r w:rsidR="00DF33CB" w:rsidRPr="00331929">
        <w:rPr>
          <w:rFonts w:ascii="Times New Roman" w:hAnsi="Times New Roman" w:cs="Times New Roman"/>
          <w:lang w:val="es-AR"/>
        </w:rPr>
        <w:t>.</w:t>
      </w:r>
      <w:r w:rsidR="00402E2A" w:rsidRPr="00331929">
        <w:rPr>
          <w:rFonts w:ascii="Times New Roman" w:hAnsi="Times New Roman" w:cs="Times New Roman"/>
          <w:lang w:val="es-AR"/>
        </w:rPr>
        <w:t xml:space="preserve"> </w:t>
      </w:r>
      <w:r w:rsidR="00DF33CB" w:rsidRPr="00331929">
        <w:rPr>
          <w:rFonts w:ascii="Times New Roman" w:hAnsi="Times New Roman" w:cs="Times New Roman"/>
          <w:lang w:val="es-AR"/>
        </w:rPr>
        <w:t>L</w:t>
      </w:r>
      <w:r w:rsidR="00402E2A" w:rsidRPr="00331929">
        <w:rPr>
          <w:rFonts w:ascii="Times New Roman" w:hAnsi="Times New Roman" w:cs="Times New Roman"/>
          <w:lang w:val="es-AR"/>
        </w:rPr>
        <w:t xml:space="preserve">o mismo sucede con </w:t>
      </w:r>
      <w:r w:rsidR="00DF33CB" w:rsidRPr="00331929">
        <w:rPr>
          <w:rFonts w:ascii="Times New Roman" w:hAnsi="Times New Roman" w:cs="Times New Roman"/>
          <w:lang w:val="es-AR"/>
        </w:rPr>
        <w:t xml:space="preserve">la </w:t>
      </w:r>
      <w:r w:rsidR="00402E2A" w:rsidRPr="00331929">
        <w:rPr>
          <w:rFonts w:ascii="Times New Roman" w:hAnsi="Times New Roman" w:cs="Times New Roman"/>
          <w:lang w:val="es-AR"/>
        </w:rPr>
        <w:t xml:space="preserve">disminución de </w:t>
      </w:r>
      <w:r w:rsidR="00DF33CB" w:rsidRPr="00331929">
        <w:rPr>
          <w:rFonts w:ascii="Times New Roman" w:hAnsi="Times New Roman" w:cs="Times New Roman"/>
          <w:lang w:val="es-AR"/>
        </w:rPr>
        <w:t xml:space="preserve">la </w:t>
      </w:r>
      <w:r w:rsidR="00402E2A" w:rsidRPr="00331929">
        <w:rPr>
          <w:rFonts w:ascii="Times New Roman" w:hAnsi="Times New Roman" w:cs="Times New Roman"/>
          <w:lang w:val="es-AR"/>
        </w:rPr>
        <w:t xml:space="preserve">superficie en </w:t>
      </w:r>
      <w:r w:rsidR="00710BD9" w:rsidRPr="00331929">
        <w:rPr>
          <w:rFonts w:ascii="Times New Roman" w:hAnsi="Times New Roman" w:cs="Times New Roman"/>
          <w:lang w:val="es-AR"/>
        </w:rPr>
        <w:t xml:space="preserve">la categoría </w:t>
      </w:r>
      <w:r w:rsidR="00710BD9" w:rsidRPr="00331929">
        <w:rPr>
          <w:rFonts w:ascii="Times New Roman" w:hAnsi="Times New Roman" w:cs="Times New Roman"/>
          <w:i/>
          <w:lang w:val="es-AR"/>
        </w:rPr>
        <w:t>S</w:t>
      </w:r>
      <w:r w:rsidR="004C5968" w:rsidRPr="00331929">
        <w:rPr>
          <w:rFonts w:ascii="Times New Roman" w:hAnsi="Times New Roman" w:cs="Times New Roman"/>
          <w:i/>
          <w:lang w:val="es-AR"/>
        </w:rPr>
        <w:t xml:space="preserve">ucesión </w:t>
      </w:r>
      <w:r w:rsidR="002D3256" w:rsidRPr="00331929">
        <w:rPr>
          <w:rFonts w:ascii="Times New Roman" w:hAnsi="Times New Roman" w:cs="Times New Roman"/>
          <w:i/>
          <w:lang w:val="es-AR"/>
        </w:rPr>
        <w:t>i</w:t>
      </w:r>
      <w:r w:rsidR="00402E2A" w:rsidRPr="00331929">
        <w:rPr>
          <w:rFonts w:ascii="Times New Roman" w:hAnsi="Times New Roman" w:cs="Times New Roman"/>
          <w:i/>
          <w:lang w:val="es-AR"/>
        </w:rPr>
        <w:t>ndivisa</w:t>
      </w:r>
      <w:r w:rsidR="00402E2A" w:rsidRPr="00331929">
        <w:rPr>
          <w:rFonts w:ascii="Times New Roman" w:hAnsi="Times New Roman" w:cs="Times New Roman"/>
          <w:lang w:val="es-AR"/>
        </w:rPr>
        <w:t xml:space="preserve">, </w:t>
      </w:r>
      <w:r w:rsidR="00DF33CB" w:rsidRPr="00331929">
        <w:rPr>
          <w:rFonts w:ascii="Times New Roman" w:hAnsi="Times New Roman" w:cs="Times New Roman"/>
          <w:lang w:val="es-AR"/>
        </w:rPr>
        <w:t xml:space="preserve">la cual fue </w:t>
      </w:r>
      <w:r w:rsidR="00402E2A" w:rsidRPr="00331929">
        <w:rPr>
          <w:rFonts w:ascii="Times New Roman" w:hAnsi="Times New Roman" w:cs="Times New Roman"/>
          <w:lang w:val="es-AR"/>
        </w:rPr>
        <w:t xml:space="preserve">históricamente registrada en </w:t>
      </w:r>
      <w:r w:rsidR="004C5968" w:rsidRPr="00331929">
        <w:rPr>
          <w:rFonts w:ascii="Times New Roman" w:hAnsi="Times New Roman" w:cs="Times New Roman"/>
          <w:lang w:val="es-AR"/>
        </w:rPr>
        <w:t xml:space="preserve">numerosos departamentos de la provincia donde </w:t>
      </w:r>
      <w:r w:rsidR="00414240" w:rsidRPr="00331929">
        <w:rPr>
          <w:rFonts w:ascii="Times New Roman" w:hAnsi="Times New Roman" w:cs="Times New Roman"/>
          <w:lang w:val="es-AR"/>
        </w:rPr>
        <w:t>existe</w:t>
      </w:r>
      <w:r w:rsidR="004C5968" w:rsidRPr="00331929">
        <w:rPr>
          <w:rFonts w:ascii="Times New Roman" w:hAnsi="Times New Roman" w:cs="Times New Roman"/>
          <w:lang w:val="es-AR"/>
        </w:rPr>
        <w:t xml:space="preserve"> </w:t>
      </w:r>
      <w:r w:rsidR="00DF33CB" w:rsidRPr="00331929">
        <w:rPr>
          <w:rFonts w:ascii="Times New Roman" w:hAnsi="Times New Roman" w:cs="Times New Roman"/>
          <w:lang w:val="es-AR"/>
        </w:rPr>
        <w:t xml:space="preserve">fuerte </w:t>
      </w:r>
      <w:r w:rsidR="004C5968" w:rsidRPr="00331929">
        <w:rPr>
          <w:rFonts w:ascii="Times New Roman" w:hAnsi="Times New Roman" w:cs="Times New Roman"/>
          <w:lang w:val="es-AR"/>
        </w:rPr>
        <w:t>presencia de</w:t>
      </w:r>
      <w:r w:rsidR="00402E2A" w:rsidRPr="00331929">
        <w:rPr>
          <w:rFonts w:ascii="Times New Roman" w:hAnsi="Times New Roman" w:cs="Times New Roman"/>
          <w:lang w:val="es-AR"/>
        </w:rPr>
        <w:t xml:space="preserve"> </w:t>
      </w:r>
      <w:r w:rsidR="00DF33CB" w:rsidRPr="00331929">
        <w:rPr>
          <w:rFonts w:ascii="Times New Roman" w:hAnsi="Times New Roman" w:cs="Times New Roman"/>
          <w:lang w:val="es-AR"/>
        </w:rPr>
        <w:t xml:space="preserve">la </w:t>
      </w:r>
      <w:r w:rsidR="00402E2A" w:rsidRPr="00331929">
        <w:rPr>
          <w:rFonts w:ascii="Times New Roman" w:hAnsi="Times New Roman" w:cs="Times New Roman"/>
          <w:lang w:val="es-AR"/>
        </w:rPr>
        <w:t>Agricultura Familiar</w:t>
      </w:r>
      <w:r w:rsidR="00710BD9" w:rsidRPr="00331929">
        <w:rPr>
          <w:rFonts w:ascii="Times New Roman" w:hAnsi="Times New Roman" w:cs="Times New Roman"/>
          <w:lang w:val="es-AR"/>
        </w:rPr>
        <w:t>.</w:t>
      </w:r>
      <w:r w:rsidR="00402E2A" w:rsidRPr="00331929">
        <w:rPr>
          <w:rFonts w:ascii="Times New Roman" w:hAnsi="Times New Roman" w:cs="Times New Roman"/>
          <w:lang w:val="es-AR"/>
        </w:rPr>
        <w:t xml:space="preserve"> </w:t>
      </w:r>
    </w:p>
    <w:p w14:paraId="25B44132" w14:textId="39D1D4EF" w:rsidR="00B13535" w:rsidRPr="00331929" w:rsidRDefault="00710BD9" w:rsidP="00AC03A4">
      <w:pPr>
        <w:spacing w:after="0"/>
        <w:ind w:firstLine="720"/>
        <w:jc w:val="both"/>
        <w:rPr>
          <w:rFonts w:ascii="Times New Roman" w:hAnsi="Times New Roman" w:cs="Times New Roman"/>
          <w:lang w:val="es-AR"/>
        </w:rPr>
      </w:pPr>
      <w:r w:rsidRPr="00331929">
        <w:rPr>
          <w:rFonts w:ascii="Times New Roman" w:hAnsi="Times New Roman" w:cs="Times New Roman"/>
          <w:lang w:val="es-AR"/>
        </w:rPr>
        <w:t>E</w:t>
      </w:r>
      <w:r w:rsidR="00402E2A" w:rsidRPr="00331929">
        <w:rPr>
          <w:rFonts w:ascii="Times New Roman" w:hAnsi="Times New Roman" w:cs="Times New Roman"/>
          <w:lang w:val="es-AR"/>
        </w:rPr>
        <w:t>n función de nuestro conocimiento empírico y</w:t>
      </w:r>
      <w:r w:rsidR="002D3256" w:rsidRPr="00331929">
        <w:rPr>
          <w:rFonts w:ascii="Times New Roman" w:hAnsi="Times New Roman" w:cs="Times New Roman"/>
          <w:lang w:val="es-AR"/>
        </w:rPr>
        <w:t xml:space="preserve"> en consonancia</w:t>
      </w:r>
      <w:r w:rsidR="00402E2A" w:rsidRPr="00331929">
        <w:rPr>
          <w:rFonts w:ascii="Times New Roman" w:hAnsi="Times New Roman" w:cs="Times New Roman"/>
          <w:lang w:val="es-AR"/>
        </w:rPr>
        <w:t xml:space="preserve"> con la información de dirigentes</w:t>
      </w:r>
      <w:r w:rsidR="00862005" w:rsidRPr="00331929">
        <w:rPr>
          <w:rFonts w:ascii="Times New Roman" w:hAnsi="Times New Roman" w:cs="Times New Roman"/>
          <w:lang w:val="es-AR"/>
        </w:rPr>
        <w:t xml:space="preserve"> de organizaciones y</w:t>
      </w:r>
      <w:r w:rsidR="00402E2A" w:rsidRPr="00331929">
        <w:rPr>
          <w:rFonts w:ascii="Times New Roman" w:hAnsi="Times New Roman" w:cs="Times New Roman"/>
          <w:lang w:val="es-AR"/>
        </w:rPr>
        <w:t xml:space="preserve"> técnicos </w:t>
      </w:r>
      <w:r w:rsidRPr="00331929">
        <w:rPr>
          <w:rFonts w:ascii="Times New Roman" w:hAnsi="Times New Roman" w:cs="Times New Roman"/>
          <w:lang w:val="es-AR"/>
        </w:rPr>
        <w:t>de instituciones</w:t>
      </w:r>
      <w:r w:rsidR="00402E2A" w:rsidRPr="00331929">
        <w:rPr>
          <w:rFonts w:ascii="Times New Roman" w:hAnsi="Times New Roman" w:cs="Times New Roman"/>
          <w:lang w:val="es-AR"/>
        </w:rPr>
        <w:t xml:space="preserve"> en los </w:t>
      </w:r>
      <w:r w:rsidRPr="00331929">
        <w:rPr>
          <w:rFonts w:ascii="Times New Roman" w:hAnsi="Times New Roman" w:cs="Times New Roman"/>
          <w:lang w:val="es-AR"/>
        </w:rPr>
        <w:t>territorios,</w:t>
      </w:r>
      <w:r w:rsidR="00402E2A" w:rsidRPr="00331929">
        <w:rPr>
          <w:rFonts w:ascii="Times New Roman" w:hAnsi="Times New Roman" w:cs="Times New Roman"/>
          <w:lang w:val="es-AR"/>
        </w:rPr>
        <w:t xml:space="preserve"> no se constata una disminución de la superficie en propiedad durante el período intercensal</w:t>
      </w:r>
      <w:r w:rsidRPr="00331929">
        <w:rPr>
          <w:rFonts w:ascii="Times New Roman" w:hAnsi="Times New Roman" w:cs="Times New Roman"/>
          <w:lang w:val="es-AR"/>
        </w:rPr>
        <w:t xml:space="preserve">, del mismo </w:t>
      </w:r>
      <w:r w:rsidR="00862005" w:rsidRPr="00331929">
        <w:rPr>
          <w:rFonts w:ascii="Times New Roman" w:hAnsi="Times New Roman" w:cs="Times New Roman"/>
          <w:lang w:val="es-AR"/>
        </w:rPr>
        <w:t xml:space="preserve">modo </w:t>
      </w:r>
      <w:r w:rsidR="00B13535" w:rsidRPr="00331929">
        <w:rPr>
          <w:rFonts w:ascii="Times New Roman" w:hAnsi="Times New Roman" w:cs="Times New Roman"/>
          <w:lang w:val="es-AR"/>
        </w:rPr>
        <w:t>que no</w:t>
      </w:r>
      <w:r w:rsidR="004C5968" w:rsidRPr="00331929">
        <w:rPr>
          <w:rFonts w:ascii="Times New Roman" w:hAnsi="Times New Roman" w:cs="Times New Roman"/>
          <w:lang w:val="es-AR"/>
        </w:rPr>
        <w:t xml:space="preserve"> se </w:t>
      </w:r>
      <w:r w:rsidR="00402E2A" w:rsidRPr="00331929">
        <w:rPr>
          <w:rFonts w:ascii="Times New Roman" w:hAnsi="Times New Roman" w:cs="Times New Roman"/>
          <w:lang w:val="es-AR"/>
        </w:rPr>
        <w:t xml:space="preserve">observaron avances significativos en </w:t>
      </w:r>
      <w:r w:rsidR="00DF33CB" w:rsidRPr="00331929">
        <w:rPr>
          <w:rFonts w:ascii="Times New Roman" w:hAnsi="Times New Roman" w:cs="Times New Roman"/>
          <w:lang w:val="es-AR"/>
        </w:rPr>
        <w:t xml:space="preserve">la </w:t>
      </w:r>
      <w:r w:rsidR="004C5968" w:rsidRPr="00331929">
        <w:rPr>
          <w:rFonts w:ascii="Times New Roman" w:hAnsi="Times New Roman" w:cs="Times New Roman"/>
          <w:lang w:val="es-AR"/>
        </w:rPr>
        <w:t>regularizaci</w:t>
      </w:r>
      <w:r w:rsidR="00DF33CB" w:rsidRPr="00331929">
        <w:rPr>
          <w:rFonts w:ascii="Times New Roman" w:hAnsi="Times New Roman" w:cs="Times New Roman"/>
          <w:lang w:val="es-AR"/>
        </w:rPr>
        <w:t xml:space="preserve">ón </w:t>
      </w:r>
      <w:r w:rsidR="004C5968" w:rsidRPr="00331929">
        <w:rPr>
          <w:rFonts w:ascii="Times New Roman" w:hAnsi="Times New Roman" w:cs="Times New Roman"/>
          <w:lang w:val="es-AR"/>
        </w:rPr>
        <w:t xml:space="preserve">de </w:t>
      </w:r>
      <w:r w:rsidR="00DF33CB" w:rsidRPr="00331929">
        <w:rPr>
          <w:rFonts w:ascii="Times New Roman" w:hAnsi="Times New Roman" w:cs="Times New Roman"/>
          <w:lang w:val="es-AR"/>
        </w:rPr>
        <w:t xml:space="preserve">diversas </w:t>
      </w:r>
      <w:r w:rsidR="004C5968" w:rsidRPr="00331929">
        <w:rPr>
          <w:rFonts w:ascii="Times New Roman" w:hAnsi="Times New Roman" w:cs="Times New Roman"/>
          <w:lang w:val="es-AR"/>
        </w:rPr>
        <w:t>situaci</w:t>
      </w:r>
      <w:r w:rsidR="00DF33CB" w:rsidRPr="00331929">
        <w:rPr>
          <w:rFonts w:ascii="Times New Roman" w:hAnsi="Times New Roman" w:cs="Times New Roman"/>
          <w:lang w:val="es-AR"/>
        </w:rPr>
        <w:t>ones d</w:t>
      </w:r>
      <w:r w:rsidR="004C5968" w:rsidRPr="00331929">
        <w:rPr>
          <w:rFonts w:ascii="Times New Roman" w:hAnsi="Times New Roman" w:cs="Times New Roman"/>
          <w:lang w:val="es-AR"/>
        </w:rPr>
        <w:t xml:space="preserve">e </w:t>
      </w:r>
      <w:r w:rsidR="00862005" w:rsidRPr="00331929">
        <w:rPr>
          <w:rFonts w:ascii="Times New Roman" w:hAnsi="Times New Roman" w:cs="Times New Roman"/>
          <w:lang w:val="es-AR"/>
        </w:rPr>
        <w:t>tenencia</w:t>
      </w:r>
      <w:r w:rsidR="00DF33CB" w:rsidRPr="00331929">
        <w:rPr>
          <w:rFonts w:ascii="Times New Roman" w:hAnsi="Times New Roman" w:cs="Times New Roman"/>
          <w:lang w:val="es-AR"/>
        </w:rPr>
        <w:t xml:space="preserve"> precaria, en especial de las sucesiones indivisas</w:t>
      </w:r>
      <w:r w:rsidR="00862005" w:rsidRPr="00331929">
        <w:rPr>
          <w:rFonts w:ascii="Times New Roman" w:hAnsi="Times New Roman" w:cs="Times New Roman"/>
          <w:lang w:val="es-AR"/>
        </w:rPr>
        <w:t>. En este sentido</w:t>
      </w:r>
      <w:r w:rsidR="00DF33CB" w:rsidRPr="00331929">
        <w:rPr>
          <w:rFonts w:ascii="Times New Roman" w:hAnsi="Times New Roman" w:cs="Times New Roman"/>
          <w:lang w:val="es-AR"/>
        </w:rPr>
        <w:t>,</w:t>
      </w:r>
      <w:r w:rsidR="00862005" w:rsidRPr="00331929">
        <w:rPr>
          <w:rFonts w:ascii="Times New Roman" w:hAnsi="Times New Roman" w:cs="Times New Roman"/>
          <w:lang w:val="es-AR"/>
        </w:rPr>
        <w:t xml:space="preserve"> cabe señalar que la ausencia de políticas provinciales </w:t>
      </w:r>
      <w:r w:rsidR="00B13535" w:rsidRPr="00331929">
        <w:rPr>
          <w:rFonts w:ascii="Times New Roman" w:hAnsi="Times New Roman" w:cs="Times New Roman"/>
          <w:lang w:val="es-AR"/>
        </w:rPr>
        <w:t xml:space="preserve">y nacionales </w:t>
      </w:r>
      <w:r w:rsidR="00862005" w:rsidRPr="00331929">
        <w:rPr>
          <w:rFonts w:ascii="Times New Roman" w:hAnsi="Times New Roman" w:cs="Times New Roman"/>
          <w:lang w:val="es-AR"/>
        </w:rPr>
        <w:t xml:space="preserve">en relación </w:t>
      </w:r>
      <w:r w:rsidR="00B06497">
        <w:rPr>
          <w:rFonts w:ascii="Times New Roman" w:hAnsi="Times New Roman" w:cs="Times New Roman"/>
          <w:lang w:val="es-AR"/>
        </w:rPr>
        <w:t>con</w:t>
      </w:r>
      <w:r w:rsidR="00862005" w:rsidRPr="00331929">
        <w:rPr>
          <w:rFonts w:ascii="Times New Roman" w:hAnsi="Times New Roman" w:cs="Times New Roman"/>
          <w:lang w:val="es-AR"/>
        </w:rPr>
        <w:t xml:space="preserve"> la situación de la </w:t>
      </w:r>
      <w:r w:rsidR="00B13535" w:rsidRPr="00331929">
        <w:rPr>
          <w:rFonts w:ascii="Times New Roman" w:hAnsi="Times New Roman" w:cs="Times New Roman"/>
          <w:lang w:val="es-AR"/>
        </w:rPr>
        <w:t xml:space="preserve">tenencia y distribución de la </w:t>
      </w:r>
      <w:r w:rsidR="00862005" w:rsidRPr="00331929">
        <w:rPr>
          <w:rFonts w:ascii="Times New Roman" w:hAnsi="Times New Roman" w:cs="Times New Roman"/>
          <w:lang w:val="es-AR"/>
        </w:rPr>
        <w:t>tierra ha sido una constante en toda la historia productiva de la provincia</w:t>
      </w:r>
      <w:r w:rsidR="002D3256" w:rsidRPr="00331929">
        <w:rPr>
          <w:rFonts w:ascii="Times New Roman" w:hAnsi="Times New Roman" w:cs="Times New Roman"/>
          <w:lang w:val="es-AR"/>
        </w:rPr>
        <w:t>, ante lo</w:t>
      </w:r>
      <w:r w:rsidR="00B13535" w:rsidRPr="00331929">
        <w:rPr>
          <w:rFonts w:ascii="Times New Roman" w:hAnsi="Times New Roman" w:cs="Times New Roman"/>
          <w:lang w:val="es-AR"/>
        </w:rPr>
        <w:t xml:space="preserve"> cual</w:t>
      </w:r>
      <w:r w:rsidR="002D3256" w:rsidRPr="00331929">
        <w:rPr>
          <w:rFonts w:ascii="Times New Roman" w:hAnsi="Times New Roman" w:cs="Times New Roman"/>
          <w:lang w:val="es-AR"/>
        </w:rPr>
        <w:t>,</w:t>
      </w:r>
      <w:r w:rsidR="00B13535" w:rsidRPr="00331929">
        <w:rPr>
          <w:rFonts w:ascii="Times New Roman" w:hAnsi="Times New Roman" w:cs="Times New Roman"/>
          <w:lang w:val="es-AR"/>
        </w:rPr>
        <w:t xml:space="preserve"> la mayoría de los/as </w:t>
      </w:r>
      <w:r w:rsidR="002D3256" w:rsidRPr="00331929">
        <w:rPr>
          <w:rFonts w:ascii="Times New Roman" w:hAnsi="Times New Roman" w:cs="Times New Roman"/>
          <w:lang w:val="es-AR"/>
        </w:rPr>
        <w:t>productores/</w:t>
      </w:r>
      <w:r w:rsidR="00F97BFF" w:rsidRPr="00331929">
        <w:rPr>
          <w:rFonts w:ascii="Times New Roman" w:hAnsi="Times New Roman" w:cs="Times New Roman"/>
          <w:lang w:val="es-AR"/>
        </w:rPr>
        <w:t>as</w:t>
      </w:r>
      <w:r w:rsidR="00B13535" w:rsidRPr="00331929">
        <w:rPr>
          <w:rFonts w:ascii="Times New Roman" w:hAnsi="Times New Roman" w:cs="Times New Roman"/>
          <w:lang w:val="es-AR"/>
        </w:rPr>
        <w:t xml:space="preserve"> de la Agricultura Familiar, campesina e indígena</w:t>
      </w:r>
      <w:r w:rsidR="00664231" w:rsidRPr="00331929">
        <w:rPr>
          <w:rFonts w:ascii="Times New Roman" w:hAnsi="Times New Roman" w:cs="Times New Roman"/>
          <w:lang w:val="es-AR"/>
        </w:rPr>
        <w:t>,</w:t>
      </w:r>
      <w:r w:rsidR="00B13535" w:rsidRPr="00331929">
        <w:rPr>
          <w:rFonts w:ascii="Times New Roman" w:hAnsi="Times New Roman" w:cs="Times New Roman"/>
          <w:lang w:val="es-AR"/>
        </w:rPr>
        <w:t xml:space="preserve"> continúan priorizando entre sus demandas</w:t>
      </w:r>
      <w:r w:rsidR="00DF33CB" w:rsidRPr="00331929">
        <w:rPr>
          <w:rFonts w:ascii="Times New Roman" w:hAnsi="Times New Roman" w:cs="Times New Roman"/>
          <w:lang w:val="es-AR"/>
        </w:rPr>
        <w:t xml:space="preserve"> de políticas públicas</w:t>
      </w:r>
      <w:r w:rsidR="002D3256" w:rsidRPr="00331929">
        <w:rPr>
          <w:rFonts w:ascii="Times New Roman" w:hAnsi="Times New Roman" w:cs="Times New Roman"/>
          <w:lang w:val="es-AR"/>
        </w:rPr>
        <w:t xml:space="preserve">, </w:t>
      </w:r>
      <w:r w:rsidR="00664231" w:rsidRPr="00331929">
        <w:rPr>
          <w:rFonts w:ascii="Times New Roman" w:hAnsi="Times New Roman" w:cs="Times New Roman"/>
          <w:lang w:val="es-AR"/>
        </w:rPr>
        <w:t xml:space="preserve">el </w:t>
      </w:r>
      <w:r w:rsidR="002D3256" w:rsidRPr="00331929">
        <w:rPr>
          <w:rFonts w:ascii="Times New Roman" w:hAnsi="Times New Roman" w:cs="Times New Roman"/>
          <w:lang w:val="es-AR"/>
        </w:rPr>
        <w:t>que se generen</w:t>
      </w:r>
      <w:r w:rsidR="00B13535" w:rsidRPr="00331929">
        <w:rPr>
          <w:rFonts w:ascii="Times New Roman" w:hAnsi="Times New Roman" w:cs="Times New Roman"/>
          <w:lang w:val="es-AR"/>
        </w:rPr>
        <w:t xml:space="preserve"> soluciones </w:t>
      </w:r>
      <w:r w:rsidR="00664231" w:rsidRPr="00331929">
        <w:rPr>
          <w:rFonts w:ascii="Times New Roman" w:hAnsi="Times New Roman" w:cs="Times New Roman"/>
          <w:lang w:val="es-AR"/>
        </w:rPr>
        <w:t xml:space="preserve">urgentes </w:t>
      </w:r>
      <w:r w:rsidR="00B13535" w:rsidRPr="00331929">
        <w:rPr>
          <w:rFonts w:ascii="Times New Roman" w:hAnsi="Times New Roman" w:cs="Times New Roman"/>
          <w:lang w:val="es-AR"/>
        </w:rPr>
        <w:t>a este problema estructural.</w:t>
      </w:r>
    </w:p>
    <w:p w14:paraId="0F35E280" w14:textId="77777777" w:rsidR="0031270D" w:rsidRPr="00331929" w:rsidRDefault="00414240" w:rsidP="00AC03A4">
      <w:pPr>
        <w:spacing w:after="0"/>
        <w:ind w:firstLine="720"/>
        <w:jc w:val="both"/>
        <w:rPr>
          <w:rFonts w:ascii="Times New Roman" w:hAnsi="Times New Roman" w:cs="Times New Roman"/>
          <w:lang w:val="es-AR"/>
        </w:rPr>
      </w:pPr>
      <w:r w:rsidRPr="00331929">
        <w:rPr>
          <w:rFonts w:ascii="Times New Roman" w:hAnsi="Times New Roman" w:cs="Times New Roman"/>
          <w:lang w:val="es-AR"/>
        </w:rPr>
        <w:t xml:space="preserve">La </w:t>
      </w:r>
      <w:r w:rsidR="00EF59E9" w:rsidRPr="00331929">
        <w:rPr>
          <w:rFonts w:ascii="Times New Roman" w:hAnsi="Times New Roman" w:cs="Times New Roman"/>
          <w:lang w:val="es-AR"/>
        </w:rPr>
        <w:t>disminución</w:t>
      </w:r>
      <w:r w:rsidRPr="00331929">
        <w:rPr>
          <w:rFonts w:ascii="Times New Roman" w:hAnsi="Times New Roman" w:cs="Times New Roman"/>
          <w:lang w:val="es-AR"/>
        </w:rPr>
        <w:t xml:space="preserve"> de superficie bajo la categoría</w:t>
      </w:r>
      <w:r w:rsidR="002D3256" w:rsidRPr="00331929">
        <w:rPr>
          <w:rFonts w:ascii="Times New Roman" w:hAnsi="Times New Roman" w:cs="Times New Roman"/>
          <w:lang w:val="es-AR"/>
        </w:rPr>
        <w:t xml:space="preserve"> </w:t>
      </w:r>
      <w:r w:rsidR="002D3256" w:rsidRPr="00331929">
        <w:rPr>
          <w:rFonts w:ascii="Times New Roman" w:hAnsi="Times New Roman" w:cs="Times New Roman"/>
          <w:i/>
          <w:lang w:val="es-AR"/>
        </w:rPr>
        <w:t>Ocupantes con p</w:t>
      </w:r>
      <w:r w:rsidRPr="00331929">
        <w:rPr>
          <w:rFonts w:ascii="Times New Roman" w:hAnsi="Times New Roman" w:cs="Times New Roman"/>
          <w:i/>
          <w:lang w:val="es-AR"/>
        </w:rPr>
        <w:t>ermiso</w:t>
      </w:r>
      <w:r w:rsidRPr="00331929">
        <w:rPr>
          <w:rFonts w:ascii="Times New Roman" w:hAnsi="Times New Roman" w:cs="Times New Roman"/>
          <w:lang w:val="es-AR"/>
        </w:rPr>
        <w:t xml:space="preserve"> y el increment</w:t>
      </w:r>
      <w:r w:rsidR="002D3256" w:rsidRPr="00331929">
        <w:rPr>
          <w:rFonts w:ascii="Times New Roman" w:hAnsi="Times New Roman" w:cs="Times New Roman"/>
          <w:lang w:val="es-AR"/>
        </w:rPr>
        <w:t xml:space="preserve">o en la categoría </w:t>
      </w:r>
      <w:r w:rsidR="002D3256" w:rsidRPr="00331929">
        <w:rPr>
          <w:rFonts w:ascii="Times New Roman" w:hAnsi="Times New Roman" w:cs="Times New Roman"/>
          <w:i/>
          <w:lang w:val="es-AR"/>
        </w:rPr>
        <w:t>Ocupantes de h</w:t>
      </w:r>
      <w:r w:rsidRPr="00331929">
        <w:rPr>
          <w:rFonts w:ascii="Times New Roman" w:hAnsi="Times New Roman" w:cs="Times New Roman"/>
          <w:i/>
          <w:lang w:val="es-AR"/>
        </w:rPr>
        <w:t>echo</w:t>
      </w:r>
      <w:r w:rsidRPr="00331929">
        <w:rPr>
          <w:rFonts w:ascii="Times New Roman" w:hAnsi="Times New Roman" w:cs="Times New Roman"/>
          <w:lang w:val="es-AR"/>
        </w:rPr>
        <w:t xml:space="preserve"> tal vez pueda adjudicarse </w:t>
      </w:r>
      <w:r w:rsidR="00EF59E9" w:rsidRPr="00331929">
        <w:rPr>
          <w:rFonts w:ascii="Times New Roman" w:hAnsi="Times New Roman" w:cs="Times New Roman"/>
          <w:lang w:val="es-AR"/>
        </w:rPr>
        <w:t>a la</w:t>
      </w:r>
      <w:r w:rsidRPr="00331929">
        <w:rPr>
          <w:rFonts w:ascii="Times New Roman" w:hAnsi="Times New Roman" w:cs="Times New Roman"/>
          <w:lang w:val="es-AR"/>
        </w:rPr>
        <w:t xml:space="preserve"> consolidación de</w:t>
      </w:r>
      <w:r w:rsidR="00710BD9" w:rsidRPr="00331929">
        <w:rPr>
          <w:rFonts w:ascii="Times New Roman" w:hAnsi="Times New Roman" w:cs="Times New Roman"/>
          <w:lang w:val="es-AR"/>
        </w:rPr>
        <w:t xml:space="preserve"> </w:t>
      </w:r>
      <w:r w:rsidRPr="00331929">
        <w:rPr>
          <w:rFonts w:ascii="Times New Roman" w:hAnsi="Times New Roman" w:cs="Times New Roman"/>
          <w:lang w:val="es-AR"/>
        </w:rPr>
        <w:t xml:space="preserve">las organizaciones de la </w:t>
      </w:r>
      <w:r w:rsidR="00664231" w:rsidRPr="00331929">
        <w:rPr>
          <w:rFonts w:ascii="Times New Roman" w:hAnsi="Times New Roman" w:cs="Times New Roman"/>
          <w:lang w:val="es-AR"/>
        </w:rPr>
        <w:t>A</w:t>
      </w:r>
      <w:r w:rsidR="00EF59E9" w:rsidRPr="00331929">
        <w:rPr>
          <w:rFonts w:ascii="Times New Roman" w:hAnsi="Times New Roman" w:cs="Times New Roman"/>
          <w:lang w:val="es-AR"/>
        </w:rPr>
        <w:t>gricultura</w:t>
      </w:r>
      <w:r w:rsidRPr="00331929">
        <w:rPr>
          <w:rFonts w:ascii="Times New Roman" w:hAnsi="Times New Roman" w:cs="Times New Roman"/>
          <w:lang w:val="es-AR"/>
        </w:rPr>
        <w:t xml:space="preserve"> </w:t>
      </w:r>
      <w:r w:rsidR="00664231" w:rsidRPr="00331929">
        <w:rPr>
          <w:rFonts w:ascii="Times New Roman" w:hAnsi="Times New Roman" w:cs="Times New Roman"/>
          <w:lang w:val="es-AR"/>
        </w:rPr>
        <w:t>F</w:t>
      </w:r>
      <w:r w:rsidR="008F1A91" w:rsidRPr="00331929">
        <w:rPr>
          <w:rFonts w:ascii="Times New Roman" w:hAnsi="Times New Roman" w:cs="Times New Roman"/>
          <w:lang w:val="es-AR"/>
        </w:rPr>
        <w:t>amiliar en</w:t>
      </w:r>
      <w:r w:rsidR="00710BD9" w:rsidRPr="00331929">
        <w:rPr>
          <w:rFonts w:ascii="Times New Roman" w:hAnsi="Times New Roman" w:cs="Times New Roman"/>
          <w:lang w:val="es-AR"/>
        </w:rPr>
        <w:t xml:space="preserve"> el </w:t>
      </w:r>
      <w:r w:rsidRPr="00331929">
        <w:rPr>
          <w:rFonts w:ascii="Times New Roman" w:hAnsi="Times New Roman" w:cs="Times New Roman"/>
          <w:lang w:val="es-AR"/>
        </w:rPr>
        <w:t xml:space="preserve">ejercicio de </w:t>
      </w:r>
      <w:r w:rsidR="00710BD9" w:rsidRPr="00331929">
        <w:rPr>
          <w:rFonts w:ascii="Times New Roman" w:hAnsi="Times New Roman" w:cs="Times New Roman"/>
          <w:lang w:val="es-AR"/>
        </w:rPr>
        <w:t xml:space="preserve">sus </w:t>
      </w:r>
      <w:r w:rsidRPr="00331929">
        <w:rPr>
          <w:rFonts w:ascii="Times New Roman" w:hAnsi="Times New Roman" w:cs="Times New Roman"/>
          <w:lang w:val="es-AR"/>
        </w:rPr>
        <w:t xml:space="preserve">derechos frente </w:t>
      </w:r>
      <w:r w:rsidR="00710BD9" w:rsidRPr="00331929">
        <w:rPr>
          <w:rFonts w:ascii="Times New Roman" w:hAnsi="Times New Roman" w:cs="Times New Roman"/>
          <w:lang w:val="es-AR"/>
        </w:rPr>
        <w:t xml:space="preserve">a </w:t>
      </w:r>
      <w:r w:rsidR="008F1A91" w:rsidRPr="00331929">
        <w:rPr>
          <w:rFonts w:ascii="Times New Roman" w:hAnsi="Times New Roman" w:cs="Times New Roman"/>
          <w:lang w:val="es-AR"/>
        </w:rPr>
        <w:t>la posesión</w:t>
      </w:r>
      <w:r w:rsidR="00710BD9" w:rsidRPr="00331929">
        <w:rPr>
          <w:rFonts w:ascii="Times New Roman" w:hAnsi="Times New Roman" w:cs="Times New Roman"/>
          <w:lang w:val="es-AR"/>
        </w:rPr>
        <w:t xml:space="preserve"> de la </w:t>
      </w:r>
      <w:r w:rsidR="00EF59E9" w:rsidRPr="00331929">
        <w:rPr>
          <w:rFonts w:ascii="Times New Roman" w:hAnsi="Times New Roman" w:cs="Times New Roman"/>
          <w:lang w:val="es-AR"/>
        </w:rPr>
        <w:t>tierra</w:t>
      </w:r>
      <w:r w:rsidR="00710BD9" w:rsidRPr="00331929">
        <w:rPr>
          <w:rFonts w:ascii="Times New Roman" w:hAnsi="Times New Roman" w:cs="Times New Roman"/>
          <w:lang w:val="es-AR"/>
        </w:rPr>
        <w:t xml:space="preserve"> y el territorio.</w:t>
      </w:r>
      <w:r w:rsidR="00F97BFF" w:rsidRPr="00331929">
        <w:rPr>
          <w:rFonts w:ascii="Times New Roman" w:hAnsi="Times New Roman" w:cs="Times New Roman"/>
          <w:lang w:val="es-AR"/>
        </w:rPr>
        <w:t xml:space="preserve"> </w:t>
      </w:r>
      <w:r w:rsidR="0031270D" w:rsidRPr="00331929">
        <w:rPr>
          <w:rFonts w:ascii="Times New Roman" w:hAnsi="Times New Roman" w:cs="Times New Roman"/>
          <w:lang w:val="es-AR"/>
        </w:rPr>
        <w:t>Observamos un increment</w:t>
      </w:r>
      <w:r w:rsidR="002D3256" w:rsidRPr="00331929">
        <w:rPr>
          <w:rFonts w:ascii="Times New Roman" w:hAnsi="Times New Roman" w:cs="Times New Roman"/>
          <w:lang w:val="es-AR"/>
        </w:rPr>
        <w:t xml:space="preserve">o de la superficie </w:t>
      </w:r>
      <w:r w:rsidR="00664231" w:rsidRPr="00331929">
        <w:rPr>
          <w:rFonts w:ascii="Times New Roman" w:hAnsi="Times New Roman" w:cs="Times New Roman"/>
          <w:lang w:val="es-AR"/>
        </w:rPr>
        <w:t xml:space="preserve">en </w:t>
      </w:r>
      <w:r w:rsidR="00664231" w:rsidRPr="00331929">
        <w:rPr>
          <w:rFonts w:ascii="Times New Roman" w:hAnsi="Times New Roman" w:cs="Times New Roman"/>
          <w:i/>
          <w:lang w:val="es-AR"/>
        </w:rPr>
        <w:t>Arrendamiento</w:t>
      </w:r>
      <w:r w:rsidR="002D3256" w:rsidRPr="00331929">
        <w:rPr>
          <w:rFonts w:ascii="Times New Roman" w:hAnsi="Times New Roman" w:cs="Times New Roman"/>
          <w:lang w:val="es-AR"/>
        </w:rPr>
        <w:t>, lo</w:t>
      </w:r>
      <w:r w:rsidR="0031270D" w:rsidRPr="00331929">
        <w:rPr>
          <w:rFonts w:ascii="Times New Roman" w:hAnsi="Times New Roman" w:cs="Times New Roman"/>
          <w:lang w:val="es-AR"/>
        </w:rPr>
        <w:t xml:space="preserve"> que tal vez pueda explicarse por el vínculo entre esta modalidad de tenencia </w:t>
      </w:r>
      <w:r w:rsidR="00664231" w:rsidRPr="00331929">
        <w:rPr>
          <w:rFonts w:ascii="Times New Roman" w:hAnsi="Times New Roman" w:cs="Times New Roman"/>
          <w:lang w:val="es-AR"/>
        </w:rPr>
        <w:t xml:space="preserve">en áreas de </w:t>
      </w:r>
      <w:r w:rsidR="007D55C4" w:rsidRPr="00331929">
        <w:rPr>
          <w:rFonts w:ascii="Times New Roman" w:hAnsi="Times New Roman" w:cs="Times New Roman"/>
          <w:lang w:val="es-AR"/>
        </w:rPr>
        <w:t xml:space="preserve">cultivos intensivos como tabaco y </w:t>
      </w:r>
      <w:r w:rsidR="00664231" w:rsidRPr="00331929">
        <w:rPr>
          <w:rFonts w:ascii="Times New Roman" w:hAnsi="Times New Roman" w:cs="Times New Roman"/>
          <w:lang w:val="es-AR"/>
        </w:rPr>
        <w:t xml:space="preserve">con </w:t>
      </w:r>
      <w:r w:rsidR="0031270D" w:rsidRPr="00331929">
        <w:rPr>
          <w:rFonts w:ascii="Times New Roman" w:hAnsi="Times New Roman" w:cs="Times New Roman"/>
          <w:lang w:val="es-AR"/>
        </w:rPr>
        <w:t xml:space="preserve">cultivos extensivos anuales, </w:t>
      </w:r>
      <w:r w:rsidR="007D55C4" w:rsidRPr="00331929">
        <w:rPr>
          <w:rFonts w:ascii="Times New Roman" w:hAnsi="Times New Roman" w:cs="Times New Roman"/>
          <w:lang w:val="es-AR"/>
        </w:rPr>
        <w:t>(</w:t>
      </w:r>
      <w:r w:rsidR="0031270D" w:rsidRPr="00331929">
        <w:rPr>
          <w:rFonts w:ascii="Times New Roman" w:hAnsi="Times New Roman" w:cs="Times New Roman"/>
          <w:lang w:val="es-AR"/>
        </w:rPr>
        <w:t>principalmente soja y poroto</w:t>
      </w:r>
      <w:r w:rsidR="007D55C4" w:rsidRPr="00331929">
        <w:rPr>
          <w:rFonts w:ascii="Times New Roman" w:hAnsi="Times New Roman" w:cs="Times New Roman"/>
          <w:lang w:val="es-AR"/>
        </w:rPr>
        <w:t>)</w:t>
      </w:r>
      <w:r w:rsidR="0031270D" w:rsidRPr="00331929">
        <w:rPr>
          <w:rFonts w:ascii="Times New Roman" w:hAnsi="Times New Roman" w:cs="Times New Roman"/>
          <w:lang w:val="es-AR"/>
        </w:rPr>
        <w:t>.</w:t>
      </w:r>
      <w:r w:rsidR="002D3256" w:rsidRPr="00331929">
        <w:rPr>
          <w:rFonts w:ascii="Times New Roman" w:hAnsi="Times New Roman" w:cs="Times New Roman"/>
          <w:lang w:val="es-AR"/>
        </w:rPr>
        <w:t xml:space="preserve"> En el rubro </w:t>
      </w:r>
      <w:r w:rsidR="002D3256" w:rsidRPr="00331929">
        <w:rPr>
          <w:rFonts w:ascii="Times New Roman" w:hAnsi="Times New Roman" w:cs="Times New Roman"/>
          <w:i/>
          <w:lang w:val="es-AR"/>
        </w:rPr>
        <w:t>Otros</w:t>
      </w:r>
      <w:r w:rsidR="0031270D" w:rsidRPr="00331929">
        <w:rPr>
          <w:rFonts w:ascii="Times New Roman" w:hAnsi="Times New Roman" w:cs="Times New Roman"/>
          <w:lang w:val="es-AR"/>
        </w:rPr>
        <w:t>, se incluyen las superfi</w:t>
      </w:r>
      <w:r w:rsidR="002D3256" w:rsidRPr="00331929">
        <w:rPr>
          <w:rFonts w:ascii="Times New Roman" w:hAnsi="Times New Roman" w:cs="Times New Roman"/>
          <w:lang w:val="es-AR"/>
        </w:rPr>
        <w:t xml:space="preserve">cies censadas como </w:t>
      </w:r>
      <w:r w:rsidR="002D3256" w:rsidRPr="00331929">
        <w:rPr>
          <w:rFonts w:ascii="Times New Roman" w:hAnsi="Times New Roman" w:cs="Times New Roman"/>
          <w:i/>
          <w:lang w:val="es-AR"/>
        </w:rPr>
        <w:t>Territorios i</w:t>
      </w:r>
      <w:r w:rsidR="0031270D" w:rsidRPr="00331929">
        <w:rPr>
          <w:rFonts w:ascii="Times New Roman" w:hAnsi="Times New Roman" w:cs="Times New Roman"/>
          <w:i/>
          <w:lang w:val="es-AR"/>
        </w:rPr>
        <w:t>ndígenas</w:t>
      </w:r>
      <w:r w:rsidR="002D3256" w:rsidRPr="00331929">
        <w:rPr>
          <w:rFonts w:ascii="Times New Roman" w:hAnsi="Times New Roman" w:cs="Times New Roman"/>
          <w:lang w:val="es-AR"/>
        </w:rPr>
        <w:t>. P</w:t>
      </w:r>
      <w:r w:rsidR="00EF59E9" w:rsidRPr="00331929">
        <w:rPr>
          <w:rFonts w:ascii="Times New Roman" w:hAnsi="Times New Roman" w:cs="Times New Roman"/>
          <w:lang w:val="es-AR"/>
        </w:rPr>
        <w:t>robablemente</w:t>
      </w:r>
      <w:r w:rsidR="002A0C65" w:rsidRPr="00331929">
        <w:rPr>
          <w:rFonts w:ascii="Times New Roman" w:hAnsi="Times New Roman" w:cs="Times New Roman"/>
          <w:lang w:val="es-AR"/>
        </w:rPr>
        <w:t xml:space="preserve"> esta situación </w:t>
      </w:r>
      <w:r w:rsidR="00710BD9" w:rsidRPr="00331929">
        <w:rPr>
          <w:rFonts w:ascii="Times New Roman" w:hAnsi="Times New Roman" w:cs="Times New Roman"/>
          <w:lang w:val="es-AR"/>
        </w:rPr>
        <w:t xml:space="preserve">pueda dar cuenta sobre </w:t>
      </w:r>
      <w:r w:rsidR="002A0C65" w:rsidRPr="00331929">
        <w:rPr>
          <w:rFonts w:ascii="Times New Roman" w:hAnsi="Times New Roman" w:cs="Times New Roman"/>
          <w:lang w:val="es-AR"/>
        </w:rPr>
        <w:t xml:space="preserve">el </w:t>
      </w:r>
      <w:r w:rsidR="00664231" w:rsidRPr="00331929">
        <w:rPr>
          <w:rFonts w:ascii="Times New Roman" w:hAnsi="Times New Roman" w:cs="Times New Roman"/>
          <w:lang w:val="es-AR"/>
        </w:rPr>
        <w:t xml:space="preserve">notable </w:t>
      </w:r>
      <w:r w:rsidR="002A0C65" w:rsidRPr="00331929">
        <w:rPr>
          <w:rFonts w:ascii="Times New Roman" w:hAnsi="Times New Roman" w:cs="Times New Roman"/>
          <w:lang w:val="es-AR"/>
        </w:rPr>
        <w:t xml:space="preserve">incremento de superficie </w:t>
      </w:r>
      <w:r w:rsidR="00664231" w:rsidRPr="00331929">
        <w:rPr>
          <w:rFonts w:ascii="Times New Roman" w:hAnsi="Times New Roman" w:cs="Times New Roman"/>
          <w:lang w:val="es-AR"/>
        </w:rPr>
        <w:t xml:space="preserve">de este rubro </w:t>
      </w:r>
      <w:r w:rsidR="002A0C65" w:rsidRPr="00331929">
        <w:rPr>
          <w:rFonts w:ascii="Times New Roman" w:hAnsi="Times New Roman" w:cs="Times New Roman"/>
          <w:lang w:val="es-AR"/>
        </w:rPr>
        <w:t xml:space="preserve">en el período intercensal, </w:t>
      </w:r>
      <w:r w:rsidR="00710BD9" w:rsidRPr="00331929">
        <w:rPr>
          <w:rFonts w:ascii="Times New Roman" w:hAnsi="Times New Roman" w:cs="Times New Roman"/>
          <w:lang w:val="es-AR"/>
        </w:rPr>
        <w:t xml:space="preserve">dado el creciente desarrollo de </w:t>
      </w:r>
      <w:r w:rsidR="002A0C65" w:rsidRPr="00331929">
        <w:rPr>
          <w:rFonts w:ascii="Times New Roman" w:hAnsi="Times New Roman" w:cs="Times New Roman"/>
          <w:lang w:val="es-AR"/>
        </w:rPr>
        <w:t xml:space="preserve">los relevamientos territoriales realizados por las organizaciones </w:t>
      </w:r>
      <w:r w:rsidR="00664231" w:rsidRPr="00331929">
        <w:rPr>
          <w:rFonts w:ascii="Times New Roman" w:hAnsi="Times New Roman" w:cs="Times New Roman"/>
          <w:lang w:val="es-AR"/>
        </w:rPr>
        <w:t>indígenas</w:t>
      </w:r>
      <w:r w:rsidR="002D3256" w:rsidRPr="00331929">
        <w:rPr>
          <w:rFonts w:ascii="Times New Roman" w:hAnsi="Times New Roman" w:cs="Times New Roman"/>
          <w:lang w:val="es-AR"/>
        </w:rPr>
        <w:t>.</w:t>
      </w:r>
    </w:p>
    <w:p w14:paraId="28E03058" w14:textId="10DDDA43" w:rsidR="00EA6AB1" w:rsidRPr="00EA6AB1" w:rsidRDefault="00EA6AB1" w:rsidP="00EA6AB1">
      <w:pPr>
        <w:spacing w:before="120" w:after="120"/>
        <w:ind w:left="142" w:firstLine="578"/>
        <w:jc w:val="both"/>
        <w:rPr>
          <w:rFonts w:ascii="Times New Roman" w:hAnsi="Times New Roman" w:cs="Times New Roman"/>
          <w:b/>
          <w:lang w:val="es-AR"/>
        </w:rPr>
      </w:pPr>
      <w:r w:rsidRPr="00EA6AB1">
        <w:rPr>
          <w:rFonts w:ascii="Times New Roman" w:hAnsi="Times New Roman" w:cs="Times New Roman"/>
          <w:b/>
          <w:lang w:val="es-AR"/>
        </w:rPr>
        <w:t>Una estructura agraria polarizada</w:t>
      </w:r>
    </w:p>
    <w:p w14:paraId="213EF8FB" w14:textId="6E2F5516" w:rsidR="00F97BFF" w:rsidRDefault="002D3256" w:rsidP="00AC03A4">
      <w:pPr>
        <w:ind w:firstLine="720"/>
        <w:jc w:val="both"/>
        <w:rPr>
          <w:rFonts w:ascii="Times New Roman" w:hAnsi="Times New Roman" w:cs="Times New Roman"/>
          <w:lang w:val="es-AR"/>
        </w:rPr>
      </w:pPr>
      <w:r w:rsidRPr="00331929">
        <w:rPr>
          <w:rFonts w:ascii="Times New Roman" w:hAnsi="Times New Roman" w:cs="Times New Roman"/>
          <w:lang w:val="es-AR"/>
        </w:rPr>
        <w:t xml:space="preserve">A </w:t>
      </w:r>
      <w:r w:rsidR="00D15226" w:rsidRPr="00331929">
        <w:rPr>
          <w:rFonts w:ascii="Times New Roman" w:hAnsi="Times New Roman" w:cs="Times New Roman"/>
          <w:lang w:val="es-AR"/>
        </w:rPr>
        <w:t>continuación,</w:t>
      </w:r>
      <w:r w:rsidRPr="00331929">
        <w:rPr>
          <w:rFonts w:ascii="Times New Roman" w:hAnsi="Times New Roman" w:cs="Times New Roman"/>
          <w:lang w:val="es-AR"/>
        </w:rPr>
        <w:t xml:space="preserve"> se analiza la estructura agraria salteña de acuerdo </w:t>
      </w:r>
      <w:r w:rsidR="00AC0523">
        <w:rPr>
          <w:rFonts w:ascii="Times New Roman" w:hAnsi="Times New Roman" w:cs="Times New Roman"/>
          <w:lang w:val="es-AR"/>
        </w:rPr>
        <w:t>con</w:t>
      </w:r>
      <w:r w:rsidRPr="00331929">
        <w:rPr>
          <w:rFonts w:ascii="Times New Roman" w:hAnsi="Times New Roman" w:cs="Times New Roman"/>
          <w:lang w:val="es-AR"/>
        </w:rPr>
        <w:t xml:space="preserve"> la distribución de la tierra. E</w:t>
      </w:r>
      <w:r w:rsidR="00F97BFF" w:rsidRPr="00331929">
        <w:rPr>
          <w:rFonts w:ascii="Times New Roman" w:hAnsi="Times New Roman" w:cs="Times New Roman"/>
          <w:lang w:val="es-AR"/>
        </w:rPr>
        <w:t>n los cuadros sigui</w:t>
      </w:r>
      <w:r w:rsidRPr="00331929">
        <w:rPr>
          <w:rFonts w:ascii="Times New Roman" w:hAnsi="Times New Roman" w:cs="Times New Roman"/>
          <w:lang w:val="es-AR"/>
        </w:rPr>
        <w:t>entes se presenta el número de EAPs</w:t>
      </w:r>
      <w:r w:rsidR="00F97BFF" w:rsidRPr="00331929">
        <w:rPr>
          <w:rFonts w:ascii="Times New Roman" w:hAnsi="Times New Roman" w:cs="Times New Roman"/>
          <w:lang w:val="es-AR"/>
        </w:rPr>
        <w:t xml:space="preserve"> según esca</w:t>
      </w:r>
      <w:r w:rsidRPr="00331929">
        <w:rPr>
          <w:rFonts w:ascii="Times New Roman" w:hAnsi="Times New Roman" w:cs="Times New Roman"/>
          <w:lang w:val="es-AR"/>
        </w:rPr>
        <w:t>la de extensión y superficie</w:t>
      </w:r>
      <w:r w:rsidR="00F97BFF" w:rsidRPr="00331929">
        <w:rPr>
          <w:rFonts w:ascii="Times New Roman" w:hAnsi="Times New Roman" w:cs="Times New Roman"/>
          <w:lang w:val="es-AR"/>
        </w:rPr>
        <w:t xml:space="preserve">. Un rasgo destacado de la estructura agraria </w:t>
      </w:r>
      <w:r w:rsidR="00D15226" w:rsidRPr="00331929">
        <w:rPr>
          <w:rFonts w:ascii="Times New Roman" w:hAnsi="Times New Roman" w:cs="Times New Roman"/>
          <w:lang w:val="es-AR"/>
        </w:rPr>
        <w:t xml:space="preserve">provincial </w:t>
      </w:r>
      <w:r w:rsidR="00F97BFF" w:rsidRPr="00331929">
        <w:rPr>
          <w:rFonts w:ascii="Times New Roman" w:hAnsi="Times New Roman" w:cs="Times New Roman"/>
          <w:lang w:val="es-AR"/>
        </w:rPr>
        <w:t>es la de</w:t>
      </w:r>
      <w:r w:rsidR="008D0E77">
        <w:rPr>
          <w:rFonts w:ascii="Times New Roman" w:hAnsi="Times New Roman" w:cs="Times New Roman"/>
          <w:lang w:val="es-AR"/>
        </w:rPr>
        <w:t>sigual distribución de este recurso productivo</w:t>
      </w:r>
      <w:r w:rsidR="00270240" w:rsidRPr="00331929">
        <w:rPr>
          <w:rFonts w:ascii="Times New Roman" w:hAnsi="Times New Roman" w:cs="Times New Roman"/>
          <w:lang w:val="es-AR"/>
        </w:rPr>
        <w:t>, con una fuerte p</w:t>
      </w:r>
      <w:r w:rsidR="00F97BFF" w:rsidRPr="00331929">
        <w:rPr>
          <w:rFonts w:ascii="Times New Roman" w:hAnsi="Times New Roman" w:cs="Times New Roman"/>
          <w:lang w:val="es-AR"/>
        </w:rPr>
        <w:t xml:space="preserve">olarización </w:t>
      </w:r>
      <w:r w:rsidR="00270240" w:rsidRPr="00331929">
        <w:rPr>
          <w:rFonts w:ascii="Times New Roman" w:hAnsi="Times New Roman" w:cs="Times New Roman"/>
          <w:lang w:val="es-AR"/>
        </w:rPr>
        <w:t>en ambos extremos de la escala.</w:t>
      </w:r>
    </w:p>
    <w:p w14:paraId="7D857502" w14:textId="558E7C19" w:rsidR="006803AD" w:rsidRDefault="006803AD" w:rsidP="00AC03A4">
      <w:pPr>
        <w:ind w:firstLine="720"/>
        <w:jc w:val="both"/>
        <w:rPr>
          <w:rFonts w:ascii="Times New Roman" w:hAnsi="Times New Roman" w:cs="Times New Roman"/>
          <w:lang w:val="es-AR"/>
        </w:rPr>
      </w:pPr>
    </w:p>
    <w:p w14:paraId="563BAD3D" w14:textId="62022C67" w:rsidR="006803AD" w:rsidRDefault="006803AD" w:rsidP="00AC03A4">
      <w:pPr>
        <w:ind w:firstLine="720"/>
        <w:jc w:val="both"/>
        <w:rPr>
          <w:rFonts w:ascii="Times New Roman" w:hAnsi="Times New Roman" w:cs="Times New Roman"/>
          <w:lang w:val="es-AR"/>
        </w:rPr>
      </w:pPr>
    </w:p>
    <w:p w14:paraId="086E52BF" w14:textId="6D14F1F7" w:rsidR="006803AD" w:rsidRPr="00331929" w:rsidRDefault="00996816" w:rsidP="00996816">
      <w:pPr>
        <w:ind w:firstLine="720"/>
        <w:jc w:val="center"/>
        <w:rPr>
          <w:rFonts w:ascii="Times New Roman" w:hAnsi="Times New Roman" w:cs="Times New Roman"/>
          <w:lang w:val="es-AR"/>
        </w:rPr>
      </w:pPr>
      <w:r>
        <w:rPr>
          <w:rFonts w:ascii="Times New Roman" w:hAnsi="Times New Roman" w:cs="Times New Roman"/>
          <w:b/>
          <w:lang w:val="es-AR"/>
        </w:rPr>
        <w:lastRenderedPageBreak/>
        <w:t>Cuadro N°</w:t>
      </w:r>
      <w:r w:rsidR="00EA6AB1" w:rsidRPr="00331929">
        <w:rPr>
          <w:rFonts w:ascii="Times New Roman" w:hAnsi="Times New Roman" w:cs="Times New Roman"/>
          <w:b/>
          <w:lang w:val="es-AR"/>
        </w:rPr>
        <w:t>3</w:t>
      </w:r>
      <w:r>
        <w:rPr>
          <w:rFonts w:ascii="Times New Roman" w:hAnsi="Times New Roman" w:cs="Times New Roman"/>
          <w:b/>
          <w:lang w:val="es-AR"/>
        </w:rPr>
        <w:t>:</w:t>
      </w:r>
      <w:r w:rsidR="00EA6AB1" w:rsidRPr="00331929">
        <w:rPr>
          <w:rFonts w:ascii="Times New Roman" w:hAnsi="Times New Roman" w:cs="Times New Roman"/>
          <w:b/>
          <w:lang w:val="es-AR"/>
        </w:rPr>
        <w:t xml:space="preserve"> Cantidad y superficie de las EAP </w:t>
      </w:r>
      <w:r w:rsidR="00EA6AB1">
        <w:rPr>
          <w:rFonts w:ascii="Times New Roman" w:hAnsi="Times New Roman" w:cs="Times New Roman"/>
          <w:b/>
          <w:lang w:val="es-AR"/>
        </w:rPr>
        <w:t xml:space="preserve">con límites definidos </w:t>
      </w:r>
      <w:r w:rsidR="00EA6AB1" w:rsidRPr="00331929">
        <w:rPr>
          <w:rFonts w:ascii="Times New Roman" w:hAnsi="Times New Roman" w:cs="Times New Roman"/>
          <w:b/>
          <w:lang w:val="es-AR"/>
        </w:rPr>
        <w:t>por escala de extensión</w:t>
      </w:r>
    </w:p>
    <w:p w14:paraId="07C8D0F4" w14:textId="77777777" w:rsidR="00996816" w:rsidRPr="00331929" w:rsidRDefault="00996816" w:rsidP="00996816">
      <w:pPr>
        <w:spacing w:before="120" w:after="120"/>
        <w:jc w:val="center"/>
        <w:rPr>
          <w:rFonts w:ascii="Times New Roman" w:hAnsi="Times New Roman" w:cs="Times New Roman"/>
          <w:lang w:val="es-AR"/>
        </w:rPr>
      </w:pPr>
      <w:r w:rsidRPr="00331929">
        <w:rPr>
          <w:rFonts w:ascii="Times New Roman" w:hAnsi="Times New Roman" w:cs="Times New Roman"/>
          <w:sz w:val="20"/>
          <w:szCs w:val="20"/>
          <w:lang w:val="es-AR"/>
        </w:rPr>
        <w:t>Fuente: Elaboración propia en base a INDEC CNA-18 (res. preliminares) y CNA-02</w:t>
      </w:r>
    </w:p>
    <w:p w14:paraId="07E27CAB" w14:textId="72691AB4" w:rsidR="00EF59E9" w:rsidRPr="00331929" w:rsidRDefault="00EF59E9" w:rsidP="006803AD">
      <w:pPr>
        <w:ind w:left="142"/>
        <w:jc w:val="center"/>
        <w:rPr>
          <w:rFonts w:ascii="Times New Roman" w:hAnsi="Times New Roman" w:cs="Times New Roman"/>
          <w:lang w:val="es-AR"/>
        </w:rPr>
      </w:pPr>
    </w:p>
    <w:tbl>
      <w:tblPr>
        <w:tblStyle w:val="Tablaconcuadrcula"/>
        <w:tblpPr w:leftFromText="180" w:rightFromText="180" w:vertAnchor="page" w:horzAnchor="margin" w:tblpY="1951"/>
        <w:tblW w:w="0" w:type="auto"/>
        <w:tblLayout w:type="fixed"/>
        <w:tblLook w:val="04A0" w:firstRow="1" w:lastRow="0" w:firstColumn="1" w:lastColumn="0" w:noHBand="0" w:noVBand="1"/>
      </w:tblPr>
      <w:tblGrid>
        <w:gridCol w:w="1726"/>
        <w:gridCol w:w="717"/>
        <w:gridCol w:w="725"/>
        <w:gridCol w:w="1177"/>
        <w:gridCol w:w="732"/>
        <w:gridCol w:w="716"/>
        <w:gridCol w:w="861"/>
        <w:gridCol w:w="1291"/>
        <w:gridCol w:w="727"/>
      </w:tblGrid>
      <w:tr w:rsidR="00E32357" w:rsidRPr="00331929" w14:paraId="7D4D1847" w14:textId="77777777" w:rsidTr="00996816">
        <w:trPr>
          <w:trHeight w:val="296"/>
        </w:trPr>
        <w:tc>
          <w:tcPr>
            <w:tcW w:w="1726" w:type="dxa"/>
          </w:tcPr>
          <w:p w14:paraId="47AEB853" w14:textId="77777777" w:rsidR="00E32357" w:rsidRPr="00331929" w:rsidRDefault="00E32357" w:rsidP="00996816">
            <w:pPr>
              <w:jc w:val="center"/>
              <w:rPr>
                <w:rFonts w:ascii="Times New Roman" w:hAnsi="Times New Roman" w:cs="Times New Roman"/>
                <w:b/>
                <w:sz w:val="18"/>
                <w:szCs w:val="18"/>
                <w:lang w:val="es-AR"/>
              </w:rPr>
            </w:pPr>
          </w:p>
        </w:tc>
        <w:tc>
          <w:tcPr>
            <w:tcW w:w="3351" w:type="dxa"/>
            <w:gridSpan w:val="4"/>
          </w:tcPr>
          <w:p w14:paraId="14E217BB" w14:textId="77777777" w:rsidR="00E32357" w:rsidRPr="00331929" w:rsidRDefault="00E32357" w:rsidP="00996816">
            <w:pPr>
              <w:jc w:val="center"/>
              <w:rPr>
                <w:rFonts w:ascii="Times New Roman" w:hAnsi="Times New Roman" w:cs="Times New Roman"/>
                <w:b/>
                <w:sz w:val="18"/>
                <w:szCs w:val="18"/>
              </w:rPr>
            </w:pPr>
            <w:r w:rsidRPr="00331929">
              <w:rPr>
                <w:rFonts w:ascii="Times New Roman" w:hAnsi="Times New Roman" w:cs="Times New Roman"/>
                <w:b/>
                <w:sz w:val="18"/>
                <w:szCs w:val="18"/>
              </w:rPr>
              <w:t>AÑO 2002</w:t>
            </w:r>
          </w:p>
        </w:tc>
        <w:tc>
          <w:tcPr>
            <w:tcW w:w="3595" w:type="dxa"/>
            <w:gridSpan w:val="4"/>
          </w:tcPr>
          <w:p w14:paraId="40B510AA" w14:textId="77777777" w:rsidR="00E32357" w:rsidRPr="00331929" w:rsidRDefault="00E32357" w:rsidP="00996816">
            <w:pPr>
              <w:jc w:val="center"/>
              <w:rPr>
                <w:rFonts w:ascii="Times New Roman" w:hAnsi="Times New Roman" w:cs="Times New Roman"/>
                <w:b/>
                <w:sz w:val="18"/>
                <w:szCs w:val="18"/>
              </w:rPr>
            </w:pPr>
            <w:r w:rsidRPr="00331929">
              <w:rPr>
                <w:rFonts w:ascii="Times New Roman" w:hAnsi="Times New Roman" w:cs="Times New Roman"/>
                <w:b/>
                <w:sz w:val="18"/>
                <w:szCs w:val="18"/>
              </w:rPr>
              <w:t>AÑO 2018</w:t>
            </w:r>
          </w:p>
        </w:tc>
      </w:tr>
      <w:tr w:rsidR="00E32357" w:rsidRPr="00331929" w14:paraId="0E0C9655" w14:textId="77777777" w:rsidTr="00996816">
        <w:trPr>
          <w:trHeight w:val="397"/>
        </w:trPr>
        <w:tc>
          <w:tcPr>
            <w:tcW w:w="1726" w:type="dxa"/>
          </w:tcPr>
          <w:p w14:paraId="11A969C9" w14:textId="77777777" w:rsidR="00E32357" w:rsidRPr="00331929" w:rsidRDefault="00E32357" w:rsidP="00996816">
            <w:pPr>
              <w:jc w:val="center"/>
              <w:rPr>
                <w:rFonts w:ascii="Times New Roman" w:hAnsi="Times New Roman" w:cs="Times New Roman"/>
                <w:b/>
                <w:sz w:val="18"/>
                <w:szCs w:val="18"/>
              </w:rPr>
            </w:pPr>
            <w:r w:rsidRPr="00331929">
              <w:rPr>
                <w:rFonts w:ascii="Times New Roman" w:hAnsi="Times New Roman" w:cs="Times New Roman"/>
                <w:b/>
                <w:sz w:val="18"/>
                <w:szCs w:val="18"/>
              </w:rPr>
              <w:t>ESCALA</w:t>
            </w:r>
          </w:p>
          <w:p w14:paraId="2B4BFF97" w14:textId="77777777" w:rsidR="00E32357" w:rsidRPr="00331929" w:rsidRDefault="00E32357" w:rsidP="00996816">
            <w:pPr>
              <w:jc w:val="center"/>
              <w:rPr>
                <w:rFonts w:ascii="Times New Roman" w:hAnsi="Times New Roman" w:cs="Times New Roman"/>
                <w:b/>
                <w:sz w:val="18"/>
                <w:szCs w:val="18"/>
              </w:rPr>
            </w:pPr>
          </w:p>
        </w:tc>
        <w:tc>
          <w:tcPr>
            <w:tcW w:w="717" w:type="dxa"/>
          </w:tcPr>
          <w:p w14:paraId="1D9906D8" w14:textId="77777777" w:rsidR="00E32357" w:rsidRPr="00331929" w:rsidRDefault="00E32357" w:rsidP="00996816">
            <w:pPr>
              <w:jc w:val="center"/>
              <w:rPr>
                <w:rFonts w:ascii="Times New Roman" w:hAnsi="Times New Roman" w:cs="Times New Roman"/>
                <w:b/>
                <w:sz w:val="18"/>
                <w:szCs w:val="18"/>
              </w:rPr>
            </w:pPr>
            <w:r w:rsidRPr="00331929">
              <w:rPr>
                <w:rFonts w:ascii="Times New Roman" w:hAnsi="Times New Roman" w:cs="Times New Roman"/>
                <w:b/>
                <w:sz w:val="18"/>
                <w:szCs w:val="18"/>
              </w:rPr>
              <w:t>EAPs</w:t>
            </w:r>
          </w:p>
        </w:tc>
        <w:tc>
          <w:tcPr>
            <w:tcW w:w="725" w:type="dxa"/>
          </w:tcPr>
          <w:p w14:paraId="12A84EC9" w14:textId="77777777" w:rsidR="00E32357" w:rsidRPr="00331929" w:rsidRDefault="00E32357" w:rsidP="00996816">
            <w:pPr>
              <w:jc w:val="center"/>
              <w:rPr>
                <w:rFonts w:ascii="Times New Roman" w:hAnsi="Times New Roman" w:cs="Times New Roman"/>
                <w:b/>
                <w:sz w:val="18"/>
                <w:szCs w:val="18"/>
              </w:rPr>
            </w:pPr>
            <w:r w:rsidRPr="00331929">
              <w:rPr>
                <w:rFonts w:ascii="Times New Roman" w:hAnsi="Times New Roman" w:cs="Times New Roman"/>
                <w:b/>
                <w:sz w:val="18"/>
                <w:szCs w:val="18"/>
              </w:rPr>
              <w:t>%</w:t>
            </w:r>
          </w:p>
        </w:tc>
        <w:tc>
          <w:tcPr>
            <w:tcW w:w="1177" w:type="dxa"/>
          </w:tcPr>
          <w:p w14:paraId="5DE31EFA" w14:textId="77777777" w:rsidR="00E32357" w:rsidRPr="00331929" w:rsidRDefault="00E32357" w:rsidP="00996816">
            <w:pPr>
              <w:jc w:val="center"/>
              <w:rPr>
                <w:rFonts w:ascii="Times New Roman" w:hAnsi="Times New Roman" w:cs="Times New Roman"/>
                <w:b/>
                <w:sz w:val="18"/>
                <w:szCs w:val="18"/>
              </w:rPr>
            </w:pPr>
            <w:r w:rsidRPr="00331929">
              <w:rPr>
                <w:rFonts w:ascii="Times New Roman" w:hAnsi="Times New Roman" w:cs="Times New Roman"/>
                <w:b/>
                <w:sz w:val="18"/>
                <w:szCs w:val="18"/>
              </w:rPr>
              <w:t>Sup</w:t>
            </w:r>
            <w:r>
              <w:rPr>
                <w:rFonts w:ascii="Times New Roman" w:hAnsi="Times New Roman" w:cs="Times New Roman"/>
                <w:b/>
                <w:sz w:val="18"/>
                <w:szCs w:val="18"/>
              </w:rPr>
              <w:t>erficie (h</w:t>
            </w:r>
            <w:r w:rsidRPr="00331929">
              <w:rPr>
                <w:rFonts w:ascii="Times New Roman" w:hAnsi="Times New Roman" w:cs="Times New Roman"/>
                <w:b/>
                <w:sz w:val="18"/>
                <w:szCs w:val="18"/>
              </w:rPr>
              <w:t>as)</w:t>
            </w:r>
          </w:p>
        </w:tc>
        <w:tc>
          <w:tcPr>
            <w:tcW w:w="732" w:type="dxa"/>
          </w:tcPr>
          <w:p w14:paraId="6D28523B" w14:textId="77777777" w:rsidR="00E32357" w:rsidRPr="00331929" w:rsidRDefault="00E32357" w:rsidP="00996816">
            <w:pPr>
              <w:jc w:val="center"/>
              <w:rPr>
                <w:rFonts w:ascii="Times New Roman" w:hAnsi="Times New Roman" w:cs="Times New Roman"/>
                <w:b/>
                <w:sz w:val="18"/>
                <w:szCs w:val="18"/>
              </w:rPr>
            </w:pPr>
            <w:r w:rsidRPr="00331929">
              <w:rPr>
                <w:rFonts w:ascii="Times New Roman" w:hAnsi="Times New Roman" w:cs="Times New Roman"/>
                <w:b/>
                <w:sz w:val="18"/>
                <w:szCs w:val="18"/>
              </w:rPr>
              <w:t>%</w:t>
            </w:r>
          </w:p>
        </w:tc>
        <w:tc>
          <w:tcPr>
            <w:tcW w:w="716" w:type="dxa"/>
          </w:tcPr>
          <w:p w14:paraId="3EE7937A" w14:textId="77777777" w:rsidR="00E32357" w:rsidRPr="00331929" w:rsidRDefault="00E32357" w:rsidP="00996816">
            <w:pPr>
              <w:jc w:val="center"/>
              <w:rPr>
                <w:rFonts w:ascii="Times New Roman" w:hAnsi="Times New Roman" w:cs="Times New Roman"/>
                <w:b/>
                <w:sz w:val="18"/>
                <w:szCs w:val="18"/>
              </w:rPr>
            </w:pPr>
            <w:r w:rsidRPr="00331929">
              <w:rPr>
                <w:rFonts w:ascii="Times New Roman" w:hAnsi="Times New Roman" w:cs="Times New Roman"/>
                <w:b/>
                <w:sz w:val="18"/>
                <w:szCs w:val="18"/>
              </w:rPr>
              <w:t>EAPs</w:t>
            </w:r>
          </w:p>
        </w:tc>
        <w:tc>
          <w:tcPr>
            <w:tcW w:w="861" w:type="dxa"/>
          </w:tcPr>
          <w:p w14:paraId="5511747A" w14:textId="77777777" w:rsidR="00E32357" w:rsidRPr="00331929" w:rsidRDefault="00E32357" w:rsidP="00996816">
            <w:pPr>
              <w:jc w:val="center"/>
              <w:rPr>
                <w:rFonts w:ascii="Times New Roman" w:hAnsi="Times New Roman" w:cs="Times New Roman"/>
                <w:b/>
                <w:sz w:val="18"/>
                <w:szCs w:val="18"/>
              </w:rPr>
            </w:pPr>
            <w:r w:rsidRPr="00331929">
              <w:rPr>
                <w:rFonts w:ascii="Times New Roman" w:hAnsi="Times New Roman" w:cs="Times New Roman"/>
                <w:b/>
                <w:sz w:val="18"/>
                <w:szCs w:val="18"/>
              </w:rPr>
              <w:t>%</w:t>
            </w:r>
          </w:p>
        </w:tc>
        <w:tc>
          <w:tcPr>
            <w:tcW w:w="1291" w:type="dxa"/>
          </w:tcPr>
          <w:p w14:paraId="19AE5F43" w14:textId="77777777" w:rsidR="00E32357" w:rsidRPr="00331929" w:rsidRDefault="00E32357" w:rsidP="00996816">
            <w:pPr>
              <w:jc w:val="center"/>
              <w:rPr>
                <w:rFonts w:ascii="Times New Roman" w:hAnsi="Times New Roman" w:cs="Times New Roman"/>
                <w:b/>
                <w:sz w:val="18"/>
                <w:szCs w:val="18"/>
              </w:rPr>
            </w:pPr>
            <w:r w:rsidRPr="00331929">
              <w:rPr>
                <w:rFonts w:ascii="Times New Roman" w:hAnsi="Times New Roman" w:cs="Times New Roman"/>
                <w:b/>
                <w:sz w:val="18"/>
                <w:szCs w:val="18"/>
              </w:rPr>
              <w:t>Superficie</w:t>
            </w:r>
          </w:p>
          <w:p w14:paraId="5189593E" w14:textId="77777777" w:rsidR="00E32357" w:rsidRPr="00331929" w:rsidRDefault="00E32357" w:rsidP="00996816">
            <w:pPr>
              <w:jc w:val="center"/>
              <w:rPr>
                <w:rFonts w:ascii="Times New Roman" w:hAnsi="Times New Roman" w:cs="Times New Roman"/>
                <w:b/>
                <w:sz w:val="18"/>
                <w:szCs w:val="18"/>
              </w:rPr>
            </w:pPr>
            <w:r>
              <w:rPr>
                <w:rFonts w:ascii="Times New Roman" w:hAnsi="Times New Roman" w:cs="Times New Roman"/>
                <w:b/>
                <w:sz w:val="18"/>
                <w:szCs w:val="18"/>
              </w:rPr>
              <w:t>(h</w:t>
            </w:r>
            <w:r w:rsidRPr="00331929">
              <w:rPr>
                <w:rFonts w:ascii="Times New Roman" w:hAnsi="Times New Roman" w:cs="Times New Roman"/>
                <w:b/>
                <w:sz w:val="18"/>
                <w:szCs w:val="18"/>
              </w:rPr>
              <w:t>as)</w:t>
            </w:r>
          </w:p>
        </w:tc>
        <w:tc>
          <w:tcPr>
            <w:tcW w:w="727" w:type="dxa"/>
          </w:tcPr>
          <w:p w14:paraId="1D317971" w14:textId="77777777" w:rsidR="00E32357" w:rsidRPr="00331929" w:rsidRDefault="00E32357" w:rsidP="00996816">
            <w:pPr>
              <w:jc w:val="center"/>
              <w:rPr>
                <w:rFonts w:ascii="Times New Roman" w:hAnsi="Times New Roman" w:cs="Times New Roman"/>
                <w:b/>
                <w:sz w:val="18"/>
                <w:szCs w:val="18"/>
              </w:rPr>
            </w:pPr>
            <w:r w:rsidRPr="00331929">
              <w:rPr>
                <w:rFonts w:ascii="Times New Roman" w:hAnsi="Times New Roman" w:cs="Times New Roman"/>
                <w:b/>
                <w:sz w:val="18"/>
                <w:szCs w:val="18"/>
              </w:rPr>
              <w:t>%</w:t>
            </w:r>
          </w:p>
        </w:tc>
      </w:tr>
      <w:tr w:rsidR="00E32357" w:rsidRPr="00331929" w14:paraId="61FB4904" w14:textId="77777777" w:rsidTr="00996816">
        <w:trPr>
          <w:trHeight w:val="296"/>
        </w:trPr>
        <w:tc>
          <w:tcPr>
            <w:tcW w:w="1726" w:type="dxa"/>
          </w:tcPr>
          <w:p w14:paraId="13EFE9C9" w14:textId="77777777" w:rsidR="00E32357" w:rsidRPr="00331929" w:rsidRDefault="00E32357" w:rsidP="00996816">
            <w:pPr>
              <w:jc w:val="center"/>
              <w:rPr>
                <w:rFonts w:ascii="Times New Roman" w:hAnsi="Times New Roman" w:cs="Times New Roman"/>
                <w:b/>
                <w:sz w:val="18"/>
                <w:szCs w:val="18"/>
              </w:rPr>
            </w:pPr>
            <w:r w:rsidRPr="00331929">
              <w:rPr>
                <w:rFonts w:ascii="Times New Roman" w:hAnsi="Times New Roman" w:cs="Times New Roman"/>
                <w:b/>
                <w:sz w:val="18"/>
                <w:szCs w:val="18"/>
              </w:rPr>
              <w:t>Hasta 5</w:t>
            </w:r>
          </w:p>
        </w:tc>
        <w:tc>
          <w:tcPr>
            <w:tcW w:w="717" w:type="dxa"/>
          </w:tcPr>
          <w:p w14:paraId="75E8929E"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2.119</w:t>
            </w:r>
          </w:p>
        </w:tc>
        <w:tc>
          <w:tcPr>
            <w:tcW w:w="725" w:type="dxa"/>
          </w:tcPr>
          <w:p w14:paraId="764DA5FD"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38,00</w:t>
            </w:r>
          </w:p>
        </w:tc>
        <w:tc>
          <w:tcPr>
            <w:tcW w:w="1177" w:type="dxa"/>
          </w:tcPr>
          <w:p w14:paraId="1BE5DF03"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4.705,00</w:t>
            </w:r>
          </w:p>
        </w:tc>
        <w:tc>
          <w:tcPr>
            <w:tcW w:w="732" w:type="dxa"/>
          </w:tcPr>
          <w:p w14:paraId="5CA9328E"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0,11</w:t>
            </w:r>
          </w:p>
        </w:tc>
        <w:tc>
          <w:tcPr>
            <w:tcW w:w="716" w:type="dxa"/>
          </w:tcPr>
          <w:p w14:paraId="620561D4"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2.288</w:t>
            </w:r>
          </w:p>
        </w:tc>
        <w:tc>
          <w:tcPr>
            <w:tcW w:w="861" w:type="dxa"/>
          </w:tcPr>
          <w:p w14:paraId="0386DF9B"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39,15</w:t>
            </w:r>
          </w:p>
        </w:tc>
        <w:tc>
          <w:tcPr>
            <w:tcW w:w="1291" w:type="dxa"/>
          </w:tcPr>
          <w:p w14:paraId="683CEBC3"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4.866,40</w:t>
            </w:r>
          </w:p>
        </w:tc>
        <w:tc>
          <w:tcPr>
            <w:tcW w:w="727" w:type="dxa"/>
          </w:tcPr>
          <w:p w14:paraId="042D895C"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0,11</w:t>
            </w:r>
          </w:p>
        </w:tc>
      </w:tr>
      <w:tr w:rsidR="00E32357" w:rsidRPr="00331929" w14:paraId="790DA0C7" w14:textId="77777777" w:rsidTr="00996816">
        <w:trPr>
          <w:trHeight w:val="280"/>
        </w:trPr>
        <w:tc>
          <w:tcPr>
            <w:tcW w:w="1726" w:type="dxa"/>
          </w:tcPr>
          <w:p w14:paraId="002CF9F2" w14:textId="77777777" w:rsidR="00E32357" w:rsidRPr="00331929" w:rsidRDefault="00E32357" w:rsidP="00996816">
            <w:pPr>
              <w:jc w:val="center"/>
              <w:rPr>
                <w:rFonts w:ascii="Times New Roman" w:hAnsi="Times New Roman" w:cs="Times New Roman"/>
                <w:b/>
                <w:sz w:val="18"/>
                <w:szCs w:val="18"/>
              </w:rPr>
            </w:pPr>
            <w:r w:rsidRPr="00331929">
              <w:rPr>
                <w:rFonts w:ascii="Times New Roman" w:hAnsi="Times New Roman" w:cs="Times New Roman"/>
                <w:b/>
                <w:sz w:val="18"/>
                <w:szCs w:val="18"/>
              </w:rPr>
              <w:t>5,1-10</w:t>
            </w:r>
          </w:p>
        </w:tc>
        <w:tc>
          <w:tcPr>
            <w:tcW w:w="717" w:type="dxa"/>
          </w:tcPr>
          <w:p w14:paraId="587D6412"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553</w:t>
            </w:r>
          </w:p>
        </w:tc>
        <w:tc>
          <w:tcPr>
            <w:tcW w:w="725" w:type="dxa"/>
          </w:tcPr>
          <w:p w14:paraId="5D74F85B"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 xml:space="preserve">9,92 </w:t>
            </w:r>
          </w:p>
        </w:tc>
        <w:tc>
          <w:tcPr>
            <w:tcW w:w="1177" w:type="dxa"/>
          </w:tcPr>
          <w:p w14:paraId="6B689FE9"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4.291,70</w:t>
            </w:r>
          </w:p>
        </w:tc>
        <w:tc>
          <w:tcPr>
            <w:tcW w:w="732" w:type="dxa"/>
          </w:tcPr>
          <w:p w14:paraId="27CB9A38"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0,10</w:t>
            </w:r>
          </w:p>
        </w:tc>
        <w:tc>
          <w:tcPr>
            <w:tcW w:w="716" w:type="dxa"/>
          </w:tcPr>
          <w:p w14:paraId="48E81176"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629</w:t>
            </w:r>
          </w:p>
        </w:tc>
        <w:tc>
          <w:tcPr>
            <w:tcW w:w="861" w:type="dxa"/>
          </w:tcPr>
          <w:p w14:paraId="09F2C1C6"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10,77</w:t>
            </w:r>
          </w:p>
        </w:tc>
        <w:tc>
          <w:tcPr>
            <w:tcW w:w="1291" w:type="dxa"/>
          </w:tcPr>
          <w:p w14:paraId="41007D9B"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4.814,20</w:t>
            </w:r>
          </w:p>
        </w:tc>
        <w:tc>
          <w:tcPr>
            <w:tcW w:w="727" w:type="dxa"/>
          </w:tcPr>
          <w:p w14:paraId="4ADF7162"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0,11</w:t>
            </w:r>
          </w:p>
        </w:tc>
      </w:tr>
      <w:tr w:rsidR="00E32357" w:rsidRPr="00331929" w14:paraId="24C93D09" w14:textId="77777777" w:rsidTr="00996816">
        <w:trPr>
          <w:trHeight w:val="296"/>
        </w:trPr>
        <w:tc>
          <w:tcPr>
            <w:tcW w:w="1726" w:type="dxa"/>
          </w:tcPr>
          <w:p w14:paraId="1ADDECE1" w14:textId="77777777" w:rsidR="00E32357" w:rsidRPr="00331929" w:rsidRDefault="00E32357" w:rsidP="00996816">
            <w:pPr>
              <w:jc w:val="center"/>
              <w:rPr>
                <w:rFonts w:ascii="Times New Roman" w:hAnsi="Times New Roman" w:cs="Times New Roman"/>
                <w:b/>
                <w:sz w:val="18"/>
                <w:szCs w:val="18"/>
              </w:rPr>
            </w:pPr>
            <w:r w:rsidRPr="00331929">
              <w:rPr>
                <w:rFonts w:ascii="Times New Roman" w:hAnsi="Times New Roman" w:cs="Times New Roman"/>
                <w:b/>
                <w:sz w:val="18"/>
                <w:szCs w:val="18"/>
              </w:rPr>
              <w:t>10,1-25</w:t>
            </w:r>
          </w:p>
        </w:tc>
        <w:tc>
          <w:tcPr>
            <w:tcW w:w="717" w:type="dxa"/>
          </w:tcPr>
          <w:p w14:paraId="4ED52D82"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504</w:t>
            </w:r>
          </w:p>
        </w:tc>
        <w:tc>
          <w:tcPr>
            <w:tcW w:w="725" w:type="dxa"/>
          </w:tcPr>
          <w:p w14:paraId="633FAFCA"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9,04</w:t>
            </w:r>
          </w:p>
        </w:tc>
        <w:tc>
          <w:tcPr>
            <w:tcW w:w="1177" w:type="dxa"/>
          </w:tcPr>
          <w:p w14:paraId="1D47B0E0"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8.561,80</w:t>
            </w:r>
          </w:p>
        </w:tc>
        <w:tc>
          <w:tcPr>
            <w:tcW w:w="732" w:type="dxa"/>
          </w:tcPr>
          <w:p w14:paraId="625948B4"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0,20</w:t>
            </w:r>
          </w:p>
        </w:tc>
        <w:tc>
          <w:tcPr>
            <w:tcW w:w="716" w:type="dxa"/>
          </w:tcPr>
          <w:p w14:paraId="16471E99"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529</w:t>
            </w:r>
          </w:p>
        </w:tc>
        <w:tc>
          <w:tcPr>
            <w:tcW w:w="861" w:type="dxa"/>
          </w:tcPr>
          <w:p w14:paraId="416D9B10"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9,05</w:t>
            </w:r>
          </w:p>
        </w:tc>
        <w:tc>
          <w:tcPr>
            <w:tcW w:w="1291" w:type="dxa"/>
          </w:tcPr>
          <w:p w14:paraId="24E29998"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8.612,40</w:t>
            </w:r>
          </w:p>
        </w:tc>
        <w:tc>
          <w:tcPr>
            <w:tcW w:w="727" w:type="dxa"/>
          </w:tcPr>
          <w:p w14:paraId="242B1B76"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0,19</w:t>
            </w:r>
          </w:p>
        </w:tc>
      </w:tr>
      <w:tr w:rsidR="00E32357" w:rsidRPr="00331929" w14:paraId="048C2CD7" w14:textId="77777777" w:rsidTr="00996816">
        <w:trPr>
          <w:trHeight w:val="280"/>
        </w:trPr>
        <w:tc>
          <w:tcPr>
            <w:tcW w:w="1726" w:type="dxa"/>
          </w:tcPr>
          <w:p w14:paraId="57373A77" w14:textId="77777777" w:rsidR="00E32357" w:rsidRPr="00331929" w:rsidRDefault="00E32357" w:rsidP="00996816">
            <w:pPr>
              <w:jc w:val="center"/>
              <w:rPr>
                <w:rFonts w:ascii="Times New Roman" w:hAnsi="Times New Roman" w:cs="Times New Roman"/>
                <w:b/>
                <w:sz w:val="18"/>
                <w:szCs w:val="18"/>
              </w:rPr>
            </w:pPr>
            <w:r w:rsidRPr="00331929">
              <w:rPr>
                <w:rFonts w:ascii="Times New Roman" w:hAnsi="Times New Roman" w:cs="Times New Roman"/>
                <w:b/>
                <w:sz w:val="18"/>
                <w:szCs w:val="18"/>
              </w:rPr>
              <w:t>25,1-50</w:t>
            </w:r>
          </w:p>
        </w:tc>
        <w:tc>
          <w:tcPr>
            <w:tcW w:w="717" w:type="dxa"/>
          </w:tcPr>
          <w:p w14:paraId="7CCAC9E8"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339</w:t>
            </w:r>
          </w:p>
        </w:tc>
        <w:tc>
          <w:tcPr>
            <w:tcW w:w="725" w:type="dxa"/>
          </w:tcPr>
          <w:p w14:paraId="0AB0D1F4"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6,08</w:t>
            </w:r>
          </w:p>
        </w:tc>
        <w:tc>
          <w:tcPr>
            <w:tcW w:w="1177" w:type="dxa"/>
          </w:tcPr>
          <w:p w14:paraId="3C733D1B"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12.961,10</w:t>
            </w:r>
          </w:p>
        </w:tc>
        <w:tc>
          <w:tcPr>
            <w:tcW w:w="732" w:type="dxa"/>
          </w:tcPr>
          <w:p w14:paraId="2BFC08E1"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0,30</w:t>
            </w:r>
          </w:p>
        </w:tc>
        <w:tc>
          <w:tcPr>
            <w:tcW w:w="716" w:type="dxa"/>
          </w:tcPr>
          <w:p w14:paraId="7EED71EE"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310</w:t>
            </w:r>
          </w:p>
        </w:tc>
        <w:tc>
          <w:tcPr>
            <w:tcW w:w="861" w:type="dxa"/>
          </w:tcPr>
          <w:p w14:paraId="7638C1A0"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5,31</w:t>
            </w:r>
          </w:p>
        </w:tc>
        <w:tc>
          <w:tcPr>
            <w:tcW w:w="1291" w:type="dxa"/>
          </w:tcPr>
          <w:p w14:paraId="7A69153A"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11.425,80</w:t>
            </w:r>
          </w:p>
        </w:tc>
        <w:tc>
          <w:tcPr>
            <w:tcW w:w="727" w:type="dxa"/>
          </w:tcPr>
          <w:p w14:paraId="2C6046E3"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0,26</w:t>
            </w:r>
          </w:p>
        </w:tc>
      </w:tr>
      <w:tr w:rsidR="00E32357" w:rsidRPr="00331929" w14:paraId="18415458" w14:textId="77777777" w:rsidTr="00996816">
        <w:trPr>
          <w:trHeight w:val="296"/>
        </w:trPr>
        <w:tc>
          <w:tcPr>
            <w:tcW w:w="1726" w:type="dxa"/>
          </w:tcPr>
          <w:p w14:paraId="10A0D454" w14:textId="77777777" w:rsidR="00E32357" w:rsidRPr="00331929" w:rsidRDefault="00E32357" w:rsidP="00996816">
            <w:pPr>
              <w:jc w:val="center"/>
              <w:rPr>
                <w:rFonts w:ascii="Times New Roman" w:hAnsi="Times New Roman" w:cs="Times New Roman"/>
                <w:b/>
                <w:sz w:val="18"/>
                <w:szCs w:val="18"/>
              </w:rPr>
            </w:pPr>
            <w:r w:rsidRPr="00331929">
              <w:rPr>
                <w:rFonts w:ascii="Times New Roman" w:hAnsi="Times New Roman" w:cs="Times New Roman"/>
                <w:b/>
                <w:sz w:val="18"/>
                <w:szCs w:val="18"/>
              </w:rPr>
              <w:t>50,1-100</w:t>
            </w:r>
          </w:p>
        </w:tc>
        <w:tc>
          <w:tcPr>
            <w:tcW w:w="717" w:type="dxa"/>
          </w:tcPr>
          <w:p w14:paraId="04FE520B"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319</w:t>
            </w:r>
          </w:p>
        </w:tc>
        <w:tc>
          <w:tcPr>
            <w:tcW w:w="725" w:type="dxa"/>
          </w:tcPr>
          <w:p w14:paraId="2B9E13F7"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5,72</w:t>
            </w:r>
          </w:p>
        </w:tc>
        <w:tc>
          <w:tcPr>
            <w:tcW w:w="1177" w:type="dxa"/>
          </w:tcPr>
          <w:p w14:paraId="6A70A566"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24.446,80</w:t>
            </w:r>
          </w:p>
        </w:tc>
        <w:tc>
          <w:tcPr>
            <w:tcW w:w="732" w:type="dxa"/>
          </w:tcPr>
          <w:p w14:paraId="7E861C82"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0,57</w:t>
            </w:r>
          </w:p>
        </w:tc>
        <w:tc>
          <w:tcPr>
            <w:tcW w:w="716" w:type="dxa"/>
          </w:tcPr>
          <w:p w14:paraId="7A009AFD"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261</w:t>
            </w:r>
          </w:p>
        </w:tc>
        <w:tc>
          <w:tcPr>
            <w:tcW w:w="861" w:type="dxa"/>
          </w:tcPr>
          <w:p w14:paraId="0446CE2E"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4,47</w:t>
            </w:r>
          </w:p>
        </w:tc>
        <w:tc>
          <w:tcPr>
            <w:tcW w:w="1291" w:type="dxa"/>
          </w:tcPr>
          <w:p w14:paraId="2B606E57"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20.270,70</w:t>
            </w:r>
          </w:p>
        </w:tc>
        <w:tc>
          <w:tcPr>
            <w:tcW w:w="727" w:type="dxa"/>
          </w:tcPr>
          <w:p w14:paraId="2D75B8DA"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0,45</w:t>
            </w:r>
          </w:p>
        </w:tc>
      </w:tr>
      <w:tr w:rsidR="00E32357" w:rsidRPr="00331929" w14:paraId="0C3BECBA" w14:textId="77777777" w:rsidTr="00996816">
        <w:trPr>
          <w:trHeight w:val="280"/>
        </w:trPr>
        <w:tc>
          <w:tcPr>
            <w:tcW w:w="1726" w:type="dxa"/>
          </w:tcPr>
          <w:p w14:paraId="1D4D82F2" w14:textId="77777777" w:rsidR="00E32357" w:rsidRPr="00331929" w:rsidRDefault="00E32357" w:rsidP="00996816">
            <w:pPr>
              <w:jc w:val="center"/>
              <w:rPr>
                <w:rFonts w:ascii="Times New Roman" w:hAnsi="Times New Roman" w:cs="Times New Roman"/>
                <w:b/>
                <w:sz w:val="18"/>
                <w:szCs w:val="18"/>
              </w:rPr>
            </w:pPr>
            <w:r w:rsidRPr="00331929">
              <w:rPr>
                <w:rFonts w:ascii="Times New Roman" w:hAnsi="Times New Roman" w:cs="Times New Roman"/>
                <w:b/>
                <w:sz w:val="18"/>
                <w:szCs w:val="18"/>
              </w:rPr>
              <w:t>100,1-200</w:t>
            </w:r>
          </w:p>
        </w:tc>
        <w:tc>
          <w:tcPr>
            <w:tcW w:w="717" w:type="dxa"/>
          </w:tcPr>
          <w:p w14:paraId="41A542A0"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294</w:t>
            </w:r>
          </w:p>
        </w:tc>
        <w:tc>
          <w:tcPr>
            <w:tcW w:w="725" w:type="dxa"/>
          </w:tcPr>
          <w:p w14:paraId="7BF9BD40"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5,27</w:t>
            </w:r>
          </w:p>
        </w:tc>
        <w:tc>
          <w:tcPr>
            <w:tcW w:w="1177" w:type="dxa"/>
          </w:tcPr>
          <w:p w14:paraId="36DE4B3E"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46.022,00</w:t>
            </w:r>
          </w:p>
        </w:tc>
        <w:tc>
          <w:tcPr>
            <w:tcW w:w="732" w:type="dxa"/>
          </w:tcPr>
          <w:p w14:paraId="08F96145"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1,08</w:t>
            </w:r>
          </w:p>
        </w:tc>
        <w:tc>
          <w:tcPr>
            <w:tcW w:w="716" w:type="dxa"/>
          </w:tcPr>
          <w:p w14:paraId="62153C14"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244</w:t>
            </w:r>
          </w:p>
        </w:tc>
        <w:tc>
          <w:tcPr>
            <w:tcW w:w="861" w:type="dxa"/>
          </w:tcPr>
          <w:p w14:paraId="63AEA4F4"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4,18</w:t>
            </w:r>
          </w:p>
        </w:tc>
        <w:tc>
          <w:tcPr>
            <w:tcW w:w="1291" w:type="dxa"/>
          </w:tcPr>
          <w:p w14:paraId="3DFB0EBD"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38.409,30</w:t>
            </w:r>
          </w:p>
        </w:tc>
        <w:tc>
          <w:tcPr>
            <w:tcW w:w="727" w:type="dxa"/>
          </w:tcPr>
          <w:p w14:paraId="63714A4A"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0,86</w:t>
            </w:r>
          </w:p>
        </w:tc>
      </w:tr>
      <w:tr w:rsidR="00E32357" w:rsidRPr="00331929" w14:paraId="29A3F8D9" w14:textId="77777777" w:rsidTr="00996816">
        <w:trPr>
          <w:trHeight w:val="296"/>
        </w:trPr>
        <w:tc>
          <w:tcPr>
            <w:tcW w:w="1726" w:type="dxa"/>
          </w:tcPr>
          <w:p w14:paraId="71F54800" w14:textId="77777777" w:rsidR="00E32357" w:rsidRPr="00331929" w:rsidRDefault="00E32357" w:rsidP="00996816">
            <w:pPr>
              <w:jc w:val="center"/>
              <w:rPr>
                <w:rFonts w:ascii="Times New Roman" w:hAnsi="Times New Roman" w:cs="Times New Roman"/>
                <w:b/>
                <w:sz w:val="18"/>
                <w:szCs w:val="18"/>
              </w:rPr>
            </w:pPr>
            <w:r w:rsidRPr="00331929">
              <w:rPr>
                <w:rFonts w:ascii="Times New Roman" w:hAnsi="Times New Roman" w:cs="Times New Roman"/>
                <w:b/>
                <w:sz w:val="18"/>
                <w:szCs w:val="18"/>
              </w:rPr>
              <w:t>200,1-500</w:t>
            </w:r>
          </w:p>
        </w:tc>
        <w:tc>
          <w:tcPr>
            <w:tcW w:w="717" w:type="dxa"/>
          </w:tcPr>
          <w:p w14:paraId="69D81D30"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457</w:t>
            </w:r>
          </w:p>
        </w:tc>
        <w:tc>
          <w:tcPr>
            <w:tcW w:w="725" w:type="dxa"/>
          </w:tcPr>
          <w:p w14:paraId="22E49793"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8,20</w:t>
            </w:r>
          </w:p>
        </w:tc>
        <w:tc>
          <w:tcPr>
            <w:tcW w:w="1177" w:type="dxa"/>
          </w:tcPr>
          <w:p w14:paraId="3697B3C6"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162.484,60</w:t>
            </w:r>
          </w:p>
        </w:tc>
        <w:tc>
          <w:tcPr>
            <w:tcW w:w="732" w:type="dxa"/>
          </w:tcPr>
          <w:p w14:paraId="74D896CE"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3,81</w:t>
            </w:r>
          </w:p>
        </w:tc>
        <w:tc>
          <w:tcPr>
            <w:tcW w:w="716" w:type="dxa"/>
          </w:tcPr>
          <w:p w14:paraId="341E61E9"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530</w:t>
            </w:r>
          </w:p>
        </w:tc>
        <w:tc>
          <w:tcPr>
            <w:tcW w:w="861" w:type="dxa"/>
          </w:tcPr>
          <w:p w14:paraId="0C9EF1E7"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9,07</w:t>
            </w:r>
          </w:p>
        </w:tc>
        <w:tc>
          <w:tcPr>
            <w:tcW w:w="1291" w:type="dxa"/>
          </w:tcPr>
          <w:p w14:paraId="48B2DE9E"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187.404,40</w:t>
            </w:r>
          </w:p>
        </w:tc>
        <w:tc>
          <w:tcPr>
            <w:tcW w:w="727" w:type="dxa"/>
          </w:tcPr>
          <w:p w14:paraId="111339FA"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4,18</w:t>
            </w:r>
          </w:p>
        </w:tc>
      </w:tr>
      <w:tr w:rsidR="00E32357" w:rsidRPr="00331929" w14:paraId="19695443" w14:textId="77777777" w:rsidTr="00996816">
        <w:trPr>
          <w:trHeight w:val="296"/>
        </w:trPr>
        <w:tc>
          <w:tcPr>
            <w:tcW w:w="1726" w:type="dxa"/>
          </w:tcPr>
          <w:p w14:paraId="128E6C2F" w14:textId="77777777" w:rsidR="00E32357" w:rsidRPr="00331929" w:rsidRDefault="00E32357" w:rsidP="00996816">
            <w:pPr>
              <w:jc w:val="center"/>
              <w:rPr>
                <w:rFonts w:ascii="Times New Roman" w:hAnsi="Times New Roman" w:cs="Times New Roman"/>
                <w:b/>
                <w:sz w:val="18"/>
                <w:szCs w:val="18"/>
              </w:rPr>
            </w:pPr>
            <w:r w:rsidRPr="00331929">
              <w:rPr>
                <w:rFonts w:ascii="Times New Roman" w:hAnsi="Times New Roman" w:cs="Times New Roman"/>
                <w:b/>
                <w:sz w:val="18"/>
                <w:szCs w:val="18"/>
              </w:rPr>
              <w:t>500,1-1</w:t>
            </w:r>
            <w:r>
              <w:rPr>
                <w:rFonts w:ascii="Times New Roman" w:hAnsi="Times New Roman" w:cs="Times New Roman"/>
                <w:b/>
                <w:sz w:val="18"/>
                <w:szCs w:val="18"/>
              </w:rPr>
              <w:t>.</w:t>
            </w:r>
            <w:r w:rsidRPr="00331929">
              <w:rPr>
                <w:rFonts w:ascii="Times New Roman" w:hAnsi="Times New Roman" w:cs="Times New Roman"/>
                <w:b/>
                <w:sz w:val="18"/>
                <w:szCs w:val="18"/>
              </w:rPr>
              <w:t>000</w:t>
            </w:r>
          </w:p>
        </w:tc>
        <w:tc>
          <w:tcPr>
            <w:tcW w:w="717" w:type="dxa"/>
          </w:tcPr>
          <w:p w14:paraId="7CD90842"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346</w:t>
            </w:r>
          </w:p>
        </w:tc>
        <w:tc>
          <w:tcPr>
            <w:tcW w:w="725" w:type="dxa"/>
          </w:tcPr>
          <w:p w14:paraId="2D1ECD3B"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6,21</w:t>
            </w:r>
          </w:p>
        </w:tc>
        <w:tc>
          <w:tcPr>
            <w:tcW w:w="1177" w:type="dxa"/>
          </w:tcPr>
          <w:p w14:paraId="11B410A6"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257.658,30</w:t>
            </w:r>
          </w:p>
        </w:tc>
        <w:tc>
          <w:tcPr>
            <w:tcW w:w="732" w:type="dxa"/>
          </w:tcPr>
          <w:p w14:paraId="43EF7D55"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6,03</w:t>
            </w:r>
          </w:p>
        </w:tc>
        <w:tc>
          <w:tcPr>
            <w:tcW w:w="716" w:type="dxa"/>
          </w:tcPr>
          <w:p w14:paraId="55A7F53A"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404</w:t>
            </w:r>
          </w:p>
        </w:tc>
        <w:tc>
          <w:tcPr>
            <w:tcW w:w="861" w:type="dxa"/>
          </w:tcPr>
          <w:p w14:paraId="2777999F"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6,91</w:t>
            </w:r>
          </w:p>
        </w:tc>
        <w:tc>
          <w:tcPr>
            <w:tcW w:w="1291" w:type="dxa"/>
          </w:tcPr>
          <w:p w14:paraId="324D43A7"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308.483,40</w:t>
            </w:r>
          </w:p>
        </w:tc>
        <w:tc>
          <w:tcPr>
            <w:tcW w:w="727" w:type="dxa"/>
          </w:tcPr>
          <w:p w14:paraId="59291DCE"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6,69</w:t>
            </w:r>
          </w:p>
        </w:tc>
      </w:tr>
      <w:tr w:rsidR="00E32357" w:rsidRPr="00331929" w14:paraId="57057565" w14:textId="77777777" w:rsidTr="00996816">
        <w:trPr>
          <w:trHeight w:val="280"/>
        </w:trPr>
        <w:tc>
          <w:tcPr>
            <w:tcW w:w="1726" w:type="dxa"/>
          </w:tcPr>
          <w:p w14:paraId="78D23B72" w14:textId="77777777" w:rsidR="00E32357" w:rsidRPr="00331929" w:rsidRDefault="00E32357" w:rsidP="00996816">
            <w:pPr>
              <w:jc w:val="center"/>
              <w:rPr>
                <w:rFonts w:ascii="Times New Roman" w:hAnsi="Times New Roman" w:cs="Times New Roman"/>
                <w:b/>
                <w:sz w:val="18"/>
                <w:szCs w:val="18"/>
              </w:rPr>
            </w:pPr>
            <w:r w:rsidRPr="00331929">
              <w:rPr>
                <w:rFonts w:ascii="Times New Roman" w:hAnsi="Times New Roman" w:cs="Times New Roman"/>
                <w:b/>
                <w:sz w:val="18"/>
                <w:szCs w:val="18"/>
              </w:rPr>
              <w:t>1</w:t>
            </w:r>
            <w:r>
              <w:rPr>
                <w:rFonts w:ascii="Times New Roman" w:hAnsi="Times New Roman" w:cs="Times New Roman"/>
                <w:b/>
                <w:sz w:val="18"/>
                <w:szCs w:val="18"/>
              </w:rPr>
              <w:t>.</w:t>
            </w:r>
            <w:r w:rsidRPr="00331929">
              <w:rPr>
                <w:rFonts w:ascii="Times New Roman" w:hAnsi="Times New Roman" w:cs="Times New Roman"/>
                <w:b/>
                <w:sz w:val="18"/>
                <w:szCs w:val="18"/>
              </w:rPr>
              <w:t>000,1-2</w:t>
            </w:r>
            <w:r>
              <w:rPr>
                <w:rFonts w:ascii="Times New Roman" w:hAnsi="Times New Roman" w:cs="Times New Roman"/>
                <w:b/>
                <w:sz w:val="18"/>
                <w:szCs w:val="18"/>
              </w:rPr>
              <w:t>.</w:t>
            </w:r>
            <w:r w:rsidRPr="00331929">
              <w:rPr>
                <w:rFonts w:ascii="Times New Roman" w:hAnsi="Times New Roman" w:cs="Times New Roman"/>
                <w:b/>
                <w:sz w:val="18"/>
                <w:szCs w:val="18"/>
              </w:rPr>
              <w:t>500</w:t>
            </w:r>
          </w:p>
        </w:tc>
        <w:tc>
          <w:tcPr>
            <w:tcW w:w="717" w:type="dxa"/>
          </w:tcPr>
          <w:p w14:paraId="343F6B97"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323</w:t>
            </w:r>
          </w:p>
        </w:tc>
        <w:tc>
          <w:tcPr>
            <w:tcW w:w="725" w:type="dxa"/>
          </w:tcPr>
          <w:p w14:paraId="000F5E58"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5,79</w:t>
            </w:r>
          </w:p>
        </w:tc>
        <w:tc>
          <w:tcPr>
            <w:tcW w:w="1177" w:type="dxa"/>
          </w:tcPr>
          <w:p w14:paraId="68A30B51"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539.633,80</w:t>
            </w:r>
          </w:p>
        </w:tc>
        <w:tc>
          <w:tcPr>
            <w:tcW w:w="732" w:type="dxa"/>
          </w:tcPr>
          <w:p w14:paraId="51F608DA"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12,64</w:t>
            </w:r>
          </w:p>
        </w:tc>
        <w:tc>
          <w:tcPr>
            <w:tcW w:w="716" w:type="dxa"/>
          </w:tcPr>
          <w:p w14:paraId="66BE8648"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371</w:t>
            </w:r>
          </w:p>
        </w:tc>
        <w:tc>
          <w:tcPr>
            <w:tcW w:w="861" w:type="dxa"/>
          </w:tcPr>
          <w:p w14:paraId="3632785C"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6,35</w:t>
            </w:r>
          </w:p>
        </w:tc>
        <w:tc>
          <w:tcPr>
            <w:tcW w:w="1291" w:type="dxa"/>
          </w:tcPr>
          <w:p w14:paraId="49403318"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624.433,70</w:t>
            </w:r>
          </w:p>
        </w:tc>
        <w:tc>
          <w:tcPr>
            <w:tcW w:w="727" w:type="dxa"/>
          </w:tcPr>
          <w:p w14:paraId="3EF4F91C"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13,94</w:t>
            </w:r>
          </w:p>
        </w:tc>
      </w:tr>
      <w:tr w:rsidR="00E32357" w:rsidRPr="00331929" w14:paraId="4A0C2A1D" w14:textId="77777777" w:rsidTr="00996816">
        <w:trPr>
          <w:trHeight w:val="296"/>
        </w:trPr>
        <w:tc>
          <w:tcPr>
            <w:tcW w:w="1726" w:type="dxa"/>
          </w:tcPr>
          <w:p w14:paraId="077595D0" w14:textId="77777777" w:rsidR="00E32357" w:rsidRPr="00331929" w:rsidRDefault="00E32357" w:rsidP="00996816">
            <w:pPr>
              <w:jc w:val="center"/>
              <w:rPr>
                <w:rFonts w:ascii="Times New Roman" w:hAnsi="Times New Roman" w:cs="Times New Roman"/>
                <w:b/>
                <w:sz w:val="18"/>
                <w:szCs w:val="18"/>
              </w:rPr>
            </w:pPr>
            <w:r w:rsidRPr="00331929">
              <w:rPr>
                <w:rFonts w:ascii="Times New Roman" w:hAnsi="Times New Roman" w:cs="Times New Roman"/>
                <w:b/>
                <w:sz w:val="18"/>
                <w:szCs w:val="18"/>
              </w:rPr>
              <w:t>2</w:t>
            </w:r>
            <w:r>
              <w:rPr>
                <w:rFonts w:ascii="Times New Roman" w:hAnsi="Times New Roman" w:cs="Times New Roman"/>
                <w:b/>
                <w:sz w:val="18"/>
                <w:szCs w:val="18"/>
              </w:rPr>
              <w:t>.</w:t>
            </w:r>
            <w:r w:rsidRPr="00331929">
              <w:rPr>
                <w:rFonts w:ascii="Times New Roman" w:hAnsi="Times New Roman" w:cs="Times New Roman"/>
                <w:b/>
                <w:sz w:val="18"/>
                <w:szCs w:val="18"/>
              </w:rPr>
              <w:t>500,1-5</w:t>
            </w:r>
            <w:r>
              <w:rPr>
                <w:rFonts w:ascii="Times New Roman" w:hAnsi="Times New Roman" w:cs="Times New Roman"/>
                <w:b/>
                <w:sz w:val="18"/>
                <w:szCs w:val="18"/>
              </w:rPr>
              <w:t>.</w:t>
            </w:r>
            <w:r w:rsidRPr="00331929">
              <w:rPr>
                <w:rFonts w:ascii="Times New Roman" w:hAnsi="Times New Roman" w:cs="Times New Roman"/>
                <w:b/>
                <w:sz w:val="18"/>
                <w:szCs w:val="18"/>
              </w:rPr>
              <w:t>000</w:t>
            </w:r>
          </w:p>
        </w:tc>
        <w:tc>
          <w:tcPr>
            <w:tcW w:w="717" w:type="dxa"/>
          </w:tcPr>
          <w:p w14:paraId="4500F22D"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146</w:t>
            </w:r>
          </w:p>
        </w:tc>
        <w:tc>
          <w:tcPr>
            <w:tcW w:w="725" w:type="dxa"/>
          </w:tcPr>
          <w:p w14:paraId="5057893B"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2,62</w:t>
            </w:r>
          </w:p>
        </w:tc>
        <w:tc>
          <w:tcPr>
            <w:tcW w:w="1177" w:type="dxa"/>
          </w:tcPr>
          <w:p w14:paraId="493870F4"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506.137,90</w:t>
            </w:r>
          </w:p>
        </w:tc>
        <w:tc>
          <w:tcPr>
            <w:tcW w:w="732" w:type="dxa"/>
          </w:tcPr>
          <w:p w14:paraId="15521649"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11,85</w:t>
            </w:r>
          </w:p>
        </w:tc>
        <w:tc>
          <w:tcPr>
            <w:tcW w:w="716" w:type="dxa"/>
          </w:tcPr>
          <w:p w14:paraId="092DB99A"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132</w:t>
            </w:r>
          </w:p>
        </w:tc>
        <w:tc>
          <w:tcPr>
            <w:tcW w:w="861" w:type="dxa"/>
          </w:tcPr>
          <w:p w14:paraId="3A35FC92"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2,25</w:t>
            </w:r>
          </w:p>
        </w:tc>
        <w:tc>
          <w:tcPr>
            <w:tcW w:w="1291" w:type="dxa"/>
          </w:tcPr>
          <w:p w14:paraId="44274CA6"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466.351,30</w:t>
            </w:r>
          </w:p>
        </w:tc>
        <w:tc>
          <w:tcPr>
            <w:tcW w:w="727" w:type="dxa"/>
          </w:tcPr>
          <w:p w14:paraId="32B44D74"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10,41</w:t>
            </w:r>
          </w:p>
        </w:tc>
      </w:tr>
      <w:tr w:rsidR="00E32357" w:rsidRPr="00331929" w14:paraId="7AF69D0C" w14:textId="77777777" w:rsidTr="00996816">
        <w:trPr>
          <w:trHeight w:val="280"/>
        </w:trPr>
        <w:tc>
          <w:tcPr>
            <w:tcW w:w="1726" w:type="dxa"/>
          </w:tcPr>
          <w:p w14:paraId="4FB8859B" w14:textId="77777777" w:rsidR="00E32357" w:rsidRPr="00331929" w:rsidRDefault="00E32357" w:rsidP="00996816">
            <w:pPr>
              <w:jc w:val="center"/>
              <w:rPr>
                <w:rFonts w:ascii="Times New Roman" w:hAnsi="Times New Roman" w:cs="Times New Roman"/>
                <w:b/>
                <w:sz w:val="18"/>
                <w:szCs w:val="18"/>
              </w:rPr>
            </w:pPr>
            <w:r w:rsidRPr="00331929">
              <w:rPr>
                <w:rFonts w:ascii="Times New Roman" w:hAnsi="Times New Roman" w:cs="Times New Roman"/>
                <w:b/>
                <w:sz w:val="18"/>
                <w:szCs w:val="18"/>
              </w:rPr>
              <w:t>5</w:t>
            </w:r>
            <w:r>
              <w:rPr>
                <w:rFonts w:ascii="Times New Roman" w:hAnsi="Times New Roman" w:cs="Times New Roman"/>
                <w:b/>
                <w:sz w:val="18"/>
                <w:szCs w:val="18"/>
              </w:rPr>
              <w:t>.</w:t>
            </w:r>
            <w:r w:rsidRPr="00331929">
              <w:rPr>
                <w:rFonts w:ascii="Times New Roman" w:hAnsi="Times New Roman" w:cs="Times New Roman"/>
                <w:b/>
                <w:sz w:val="18"/>
                <w:szCs w:val="18"/>
              </w:rPr>
              <w:t>000,1-7</w:t>
            </w:r>
            <w:r>
              <w:rPr>
                <w:rFonts w:ascii="Times New Roman" w:hAnsi="Times New Roman" w:cs="Times New Roman"/>
                <w:b/>
                <w:sz w:val="18"/>
                <w:szCs w:val="18"/>
              </w:rPr>
              <w:t>.</w:t>
            </w:r>
            <w:r w:rsidRPr="00331929">
              <w:rPr>
                <w:rFonts w:ascii="Times New Roman" w:hAnsi="Times New Roman" w:cs="Times New Roman"/>
                <w:b/>
                <w:sz w:val="18"/>
                <w:szCs w:val="18"/>
              </w:rPr>
              <w:t>500</w:t>
            </w:r>
          </w:p>
        </w:tc>
        <w:tc>
          <w:tcPr>
            <w:tcW w:w="717" w:type="dxa"/>
          </w:tcPr>
          <w:p w14:paraId="74EA7ACD"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66</w:t>
            </w:r>
          </w:p>
        </w:tc>
        <w:tc>
          <w:tcPr>
            <w:tcW w:w="725" w:type="dxa"/>
          </w:tcPr>
          <w:p w14:paraId="6275EF19"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1,18</w:t>
            </w:r>
          </w:p>
        </w:tc>
        <w:tc>
          <w:tcPr>
            <w:tcW w:w="1177" w:type="dxa"/>
          </w:tcPr>
          <w:p w14:paraId="6162902F"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403.824,20</w:t>
            </w:r>
          </w:p>
        </w:tc>
        <w:tc>
          <w:tcPr>
            <w:tcW w:w="732" w:type="dxa"/>
          </w:tcPr>
          <w:p w14:paraId="1D424FD1"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9,46</w:t>
            </w:r>
          </w:p>
        </w:tc>
        <w:tc>
          <w:tcPr>
            <w:tcW w:w="716" w:type="dxa"/>
          </w:tcPr>
          <w:p w14:paraId="13FCB841"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48</w:t>
            </w:r>
          </w:p>
        </w:tc>
        <w:tc>
          <w:tcPr>
            <w:tcW w:w="861" w:type="dxa"/>
          </w:tcPr>
          <w:p w14:paraId="61355959"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0.82</w:t>
            </w:r>
          </w:p>
        </w:tc>
        <w:tc>
          <w:tcPr>
            <w:tcW w:w="1291" w:type="dxa"/>
          </w:tcPr>
          <w:p w14:paraId="56B18CF6"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293.889,50</w:t>
            </w:r>
          </w:p>
        </w:tc>
        <w:tc>
          <w:tcPr>
            <w:tcW w:w="727" w:type="dxa"/>
          </w:tcPr>
          <w:p w14:paraId="7479AD34"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6,66</w:t>
            </w:r>
          </w:p>
        </w:tc>
      </w:tr>
      <w:tr w:rsidR="00E32357" w:rsidRPr="00331929" w14:paraId="572D6460" w14:textId="77777777" w:rsidTr="00996816">
        <w:trPr>
          <w:trHeight w:val="296"/>
        </w:trPr>
        <w:tc>
          <w:tcPr>
            <w:tcW w:w="1726" w:type="dxa"/>
          </w:tcPr>
          <w:p w14:paraId="61F3CA9F" w14:textId="77777777" w:rsidR="00E32357" w:rsidRPr="00331929" w:rsidRDefault="00E32357" w:rsidP="00996816">
            <w:pPr>
              <w:jc w:val="center"/>
              <w:rPr>
                <w:rFonts w:ascii="Times New Roman" w:hAnsi="Times New Roman" w:cs="Times New Roman"/>
                <w:b/>
                <w:sz w:val="18"/>
                <w:szCs w:val="18"/>
              </w:rPr>
            </w:pPr>
            <w:r w:rsidRPr="00331929">
              <w:rPr>
                <w:rFonts w:ascii="Times New Roman" w:hAnsi="Times New Roman" w:cs="Times New Roman"/>
                <w:b/>
                <w:sz w:val="18"/>
                <w:szCs w:val="18"/>
              </w:rPr>
              <w:t>7</w:t>
            </w:r>
            <w:r>
              <w:rPr>
                <w:rFonts w:ascii="Times New Roman" w:hAnsi="Times New Roman" w:cs="Times New Roman"/>
                <w:b/>
                <w:sz w:val="18"/>
                <w:szCs w:val="18"/>
              </w:rPr>
              <w:t>.</w:t>
            </w:r>
            <w:r w:rsidRPr="00331929">
              <w:rPr>
                <w:rFonts w:ascii="Times New Roman" w:hAnsi="Times New Roman" w:cs="Times New Roman"/>
                <w:b/>
                <w:sz w:val="18"/>
                <w:szCs w:val="18"/>
              </w:rPr>
              <w:t>500,1-10</w:t>
            </w:r>
            <w:r>
              <w:rPr>
                <w:rFonts w:ascii="Times New Roman" w:hAnsi="Times New Roman" w:cs="Times New Roman"/>
                <w:b/>
                <w:sz w:val="18"/>
                <w:szCs w:val="18"/>
              </w:rPr>
              <w:t>.</w:t>
            </w:r>
            <w:r w:rsidRPr="00331929">
              <w:rPr>
                <w:rFonts w:ascii="Times New Roman" w:hAnsi="Times New Roman" w:cs="Times New Roman"/>
                <w:b/>
                <w:sz w:val="18"/>
                <w:szCs w:val="18"/>
              </w:rPr>
              <w:t>000</w:t>
            </w:r>
          </w:p>
        </w:tc>
        <w:tc>
          <w:tcPr>
            <w:tcW w:w="717" w:type="dxa"/>
          </w:tcPr>
          <w:p w14:paraId="60B119F0"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34</w:t>
            </w:r>
          </w:p>
        </w:tc>
        <w:tc>
          <w:tcPr>
            <w:tcW w:w="725" w:type="dxa"/>
          </w:tcPr>
          <w:p w14:paraId="053D06C6"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0,61</w:t>
            </w:r>
          </w:p>
        </w:tc>
        <w:tc>
          <w:tcPr>
            <w:tcW w:w="1177" w:type="dxa"/>
          </w:tcPr>
          <w:p w14:paraId="113993B4"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297.128,40</w:t>
            </w:r>
          </w:p>
        </w:tc>
        <w:tc>
          <w:tcPr>
            <w:tcW w:w="732" w:type="dxa"/>
          </w:tcPr>
          <w:p w14:paraId="68E41596"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6,96</w:t>
            </w:r>
          </w:p>
        </w:tc>
        <w:tc>
          <w:tcPr>
            <w:tcW w:w="716" w:type="dxa"/>
          </w:tcPr>
          <w:p w14:paraId="111D1A59"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27</w:t>
            </w:r>
          </w:p>
        </w:tc>
        <w:tc>
          <w:tcPr>
            <w:tcW w:w="861" w:type="dxa"/>
          </w:tcPr>
          <w:p w14:paraId="24888FAA"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0,46</w:t>
            </w:r>
          </w:p>
        </w:tc>
        <w:tc>
          <w:tcPr>
            <w:tcW w:w="1291" w:type="dxa"/>
          </w:tcPr>
          <w:p w14:paraId="25FC439A"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235.955,70</w:t>
            </w:r>
          </w:p>
        </w:tc>
        <w:tc>
          <w:tcPr>
            <w:tcW w:w="727" w:type="dxa"/>
          </w:tcPr>
          <w:p w14:paraId="59BA326D"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5,21</w:t>
            </w:r>
          </w:p>
        </w:tc>
      </w:tr>
      <w:tr w:rsidR="00E32357" w:rsidRPr="00331929" w14:paraId="0C7AC054" w14:textId="77777777" w:rsidTr="00996816">
        <w:trPr>
          <w:trHeight w:val="280"/>
        </w:trPr>
        <w:tc>
          <w:tcPr>
            <w:tcW w:w="1726" w:type="dxa"/>
          </w:tcPr>
          <w:p w14:paraId="03709C7B" w14:textId="77777777" w:rsidR="00E32357" w:rsidRPr="00331929" w:rsidRDefault="00E32357" w:rsidP="00996816">
            <w:pPr>
              <w:jc w:val="center"/>
              <w:rPr>
                <w:rFonts w:ascii="Times New Roman" w:hAnsi="Times New Roman" w:cs="Times New Roman"/>
                <w:b/>
                <w:sz w:val="18"/>
                <w:szCs w:val="18"/>
              </w:rPr>
            </w:pPr>
            <w:r w:rsidRPr="00331929">
              <w:rPr>
                <w:rFonts w:ascii="Times New Roman" w:hAnsi="Times New Roman" w:cs="Times New Roman"/>
                <w:b/>
                <w:sz w:val="18"/>
                <w:szCs w:val="18"/>
              </w:rPr>
              <w:t>10</w:t>
            </w:r>
            <w:r>
              <w:rPr>
                <w:rFonts w:ascii="Times New Roman" w:hAnsi="Times New Roman" w:cs="Times New Roman"/>
                <w:b/>
                <w:sz w:val="18"/>
                <w:szCs w:val="18"/>
              </w:rPr>
              <w:t>.</w:t>
            </w:r>
            <w:r w:rsidRPr="00331929">
              <w:rPr>
                <w:rFonts w:ascii="Times New Roman" w:hAnsi="Times New Roman" w:cs="Times New Roman"/>
                <w:b/>
                <w:sz w:val="18"/>
                <w:szCs w:val="18"/>
              </w:rPr>
              <w:t>000,1-20</w:t>
            </w:r>
            <w:r>
              <w:rPr>
                <w:rFonts w:ascii="Times New Roman" w:hAnsi="Times New Roman" w:cs="Times New Roman"/>
                <w:b/>
                <w:sz w:val="18"/>
                <w:szCs w:val="18"/>
              </w:rPr>
              <w:t>.</w:t>
            </w:r>
            <w:r w:rsidRPr="00331929">
              <w:rPr>
                <w:rFonts w:ascii="Times New Roman" w:hAnsi="Times New Roman" w:cs="Times New Roman"/>
                <w:b/>
                <w:sz w:val="18"/>
                <w:szCs w:val="18"/>
              </w:rPr>
              <w:t>000</w:t>
            </w:r>
          </w:p>
        </w:tc>
        <w:tc>
          <w:tcPr>
            <w:tcW w:w="717" w:type="dxa"/>
          </w:tcPr>
          <w:p w14:paraId="122FD9DA"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43</w:t>
            </w:r>
          </w:p>
        </w:tc>
        <w:tc>
          <w:tcPr>
            <w:tcW w:w="725" w:type="dxa"/>
          </w:tcPr>
          <w:p w14:paraId="50C53864"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0,77</w:t>
            </w:r>
          </w:p>
        </w:tc>
        <w:tc>
          <w:tcPr>
            <w:tcW w:w="1177" w:type="dxa"/>
          </w:tcPr>
          <w:p w14:paraId="39113702"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606.841,60</w:t>
            </w:r>
          </w:p>
        </w:tc>
        <w:tc>
          <w:tcPr>
            <w:tcW w:w="732" w:type="dxa"/>
          </w:tcPr>
          <w:p w14:paraId="64782A08"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12,41</w:t>
            </w:r>
          </w:p>
        </w:tc>
        <w:tc>
          <w:tcPr>
            <w:tcW w:w="716" w:type="dxa"/>
          </w:tcPr>
          <w:p w14:paraId="70F15ABB"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35</w:t>
            </w:r>
          </w:p>
        </w:tc>
        <w:tc>
          <w:tcPr>
            <w:tcW w:w="861" w:type="dxa"/>
          </w:tcPr>
          <w:p w14:paraId="7632B25D"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0,60</w:t>
            </w:r>
          </w:p>
        </w:tc>
        <w:tc>
          <w:tcPr>
            <w:tcW w:w="1291" w:type="dxa"/>
          </w:tcPr>
          <w:p w14:paraId="11F1927F"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481.818,10</w:t>
            </w:r>
          </w:p>
        </w:tc>
        <w:tc>
          <w:tcPr>
            <w:tcW w:w="727" w:type="dxa"/>
          </w:tcPr>
          <w:p w14:paraId="7B8DDD96"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10,75</w:t>
            </w:r>
          </w:p>
        </w:tc>
      </w:tr>
      <w:tr w:rsidR="00E32357" w:rsidRPr="00331929" w14:paraId="56207885" w14:textId="77777777" w:rsidTr="00996816">
        <w:trPr>
          <w:trHeight w:val="296"/>
        </w:trPr>
        <w:tc>
          <w:tcPr>
            <w:tcW w:w="1726" w:type="dxa"/>
          </w:tcPr>
          <w:p w14:paraId="5C30FB4E" w14:textId="77777777" w:rsidR="00E32357" w:rsidRPr="00331929" w:rsidRDefault="00E32357" w:rsidP="00996816">
            <w:pPr>
              <w:jc w:val="center"/>
              <w:rPr>
                <w:rFonts w:ascii="Times New Roman" w:hAnsi="Times New Roman" w:cs="Times New Roman"/>
                <w:b/>
                <w:sz w:val="18"/>
                <w:szCs w:val="18"/>
              </w:rPr>
            </w:pPr>
            <w:r w:rsidRPr="00331929">
              <w:rPr>
                <w:rFonts w:ascii="Times New Roman" w:hAnsi="Times New Roman" w:cs="Times New Roman"/>
                <w:b/>
                <w:sz w:val="18"/>
                <w:szCs w:val="18"/>
              </w:rPr>
              <w:t>20</w:t>
            </w:r>
            <w:r>
              <w:rPr>
                <w:rFonts w:ascii="Times New Roman" w:hAnsi="Times New Roman" w:cs="Times New Roman"/>
                <w:b/>
                <w:sz w:val="18"/>
                <w:szCs w:val="18"/>
              </w:rPr>
              <w:t>.</w:t>
            </w:r>
            <w:r w:rsidRPr="00331929">
              <w:rPr>
                <w:rFonts w:ascii="Times New Roman" w:hAnsi="Times New Roman" w:cs="Times New Roman"/>
                <w:b/>
                <w:sz w:val="18"/>
                <w:szCs w:val="18"/>
              </w:rPr>
              <w:t>000, 1-Más</w:t>
            </w:r>
          </w:p>
        </w:tc>
        <w:tc>
          <w:tcPr>
            <w:tcW w:w="717" w:type="dxa"/>
          </w:tcPr>
          <w:p w14:paraId="5E25C04B"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32</w:t>
            </w:r>
          </w:p>
        </w:tc>
        <w:tc>
          <w:tcPr>
            <w:tcW w:w="725" w:type="dxa"/>
          </w:tcPr>
          <w:p w14:paraId="694ED8BB"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0,57</w:t>
            </w:r>
          </w:p>
        </w:tc>
        <w:tc>
          <w:tcPr>
            <w:tcW w:w="1177" w:type="dxa"/>
          </w:tcPr>
          <w:p w14:paraId="10DD75D2" w14:textId="6C9EE625"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1</w:t>
            </w:r>
            <w:r w:rsidR="008D0E77">
              <w:rPr>
                <w:rFonts w:ascii="Times New Roman" w:hAnsi="Times New Roman" w:cs="Times New Roman"/>
                <w:sz w:val="18"/>
                <w:szCs w:val="18"/>
              </w:rPr>
              <w:t>.</w:t>
            </w:r>
            <w:r w:rsidRPr="00331929">
              <w:rPr>
                <w:rFonts w:ascii="Times New Roman" w:hAnsi="Times New Roman" w:cs="Times New Roman"/>
                <w:sz w:val="18"/>
                <w:szCs w:val="18"/>
              </w:rPr>
              <w:t>394</w:t>
            </w:r>
            <w:r w:rsidR="008D0E77">
              <w:rPr>
                <w:rFonts w:ascii="Times New Roman" w:hAnsi="Times New Roman" w:cs="Times New Roman"/>
                <w:sz w:val="18"/>
                <w:szCs w:val="18"/>
              </w:rPr>
              <w:t>.</w:t>
            </w:r>
            <w:r w:rsidRPr="00331929">
              <w:rPr>
                <w:rFonts w:ascii="Times New Roman" w:hAnsi="Times New Roman" w:cs="Times New Roman"/>
                <w:sz w:val="18"/>
                <w:szCs w:val="18"/>
              </w:rPr>
              <w:t>802</w:t>
            </w:r>
            <w:r w:rsidR="008D0E77">
              <w:rPr>
                <w:rFonts w:ascii="Times New Roman" w:hAnsi="Times New Roman" w:cs="Times New Roman"/>
                <w:sz w:val="18"/>
                <w:szCs w:val="18"/>
              </w:rPr>
              <w:t>,0</w:t>
            </w:r>
            <w:r w:rsidRPr="00331929">
              <w:rPr>
                <w:rFonts w:ascii="Times New Roman" w:hAnsi="Times New Roman" w:cs="Times New Roman"/>
                <w:sz w:val="18"/>
                <w:szCs w:val="18"/>
              </w:rPr>
              <w:t>0</w:t>
            </w:r>
          </w:p>
        </w:tc>
        <w:tc>
          <w:tcPr>
            <w:tcW w:w="732" w:type="dxa"/>
          </w:tcPr>
          <w:p w14:paraId="1AFDC4BF"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32,67</w:t>
            </w:r>
          </w:p>
        </w:tc>
        <w:tc>
          <w:tcPr>
            <w:tcW w:w="716" w:type="dxa"/>
          </w:tcPr>
          <w:p w14:paraId="1471837E"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35</w:t>
            </w:r>
          </w:p>
        </w:tc>
        <w:tc>
          <w:tcPr>
            <w:tcW w:w="861" w:type="dxa"/>
          </w:tcPr>
          <w:p w14:paraId="61CE43C6"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0,60</w:t>
            </w:r>
          </w:p>
        </w:tc>
        <w:tc>
          <w:tcPr>
            <w:tcW w:w="1291" w:type="dxa"/>
          </w:tcPr>
          <w:p w14:paraId="410AFC50"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1.793.430,60</w:t>
            </w:r>
          </w:p>
        </w:tc>
        <w:tc>
          <w:tcPr>
            <w:tcW w:w="727" w:type="dxa"/>
          </w:tcPr>
          <w:p w14:paraId="5D7E6CCA"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40,03</w:t>
            </w:r>
          </w:p>
        </w:tc>
      </w:tr>
      <w:tr w:rsidR="00E32357" w:rsidRPr="00331929" w14:paraId="371B3083" w14:textId="77777777" w:rsidTr="00996816">
        <w:trPr>
          <w:trHeight w:val="280"/>
        </w:trPr>
        <w:tc>
          <w:tcPr>
            <w:tcW w:w="1726" w:type="dxa"/>
          </w:tcPr>
          <w:p w14:paraId="36BC58D0" w14:textId="77777777" w:rsidR="00E32357" w:rsidRPr="00331929" w:rsidRDefault="00E32357" w:rsidP="00996816">
            <w:pPr>
              <w:jc w:val="center"/>
              <w:rPr>
                <w:rFonts w:ascii="Times New Roman" w:hAnsi="Times New Roman" w:cs="Times New Roman"/>
                <w:b/>
                <w:sz w:val="18"/>
                <w:szCs w:val="18"/>
              </w:rPr>
            </w:pPr>
            <w:r w:rsidRPr="00331929">
              <w:rPr>
                <w:rFonts w:ascii="Times New Roman" w:hAnsi="Times New Roman" w:cs="Times New Roman"/>
                <w:b/>
                <w:sz w:val="18"/>
                <w:szCs w:val="18"/>
              </w:rPr>
              <w:t>TOTAL</w:t>
            </w:r>
          </w:p>
        </w:tc>
        <w:tc>
          <w:tcPr>
            <w:tcW w:w="717" w:type="dxa"/>
          </w:tcPr>
          <w:p w14:paraId="72A7FCE0"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5.575</w:t>
            </w:r>
          </w:p>
        </w:tc>
        <w:tc>
          <w:tcPr>
            <w:tcW w:w="725" w:type="dxa"/>
          </w:tcPr>
          <w:p w14:paraId="319D0AFF"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100</w:t>
            </w:r>
          </w:p>
        </w:tc>
        <w:tc>
          <w:tcPr>
            <w:tcW w:w="1177" w:type="dxa"/>
          </w:tcPr>
          <w:p w14:paraId="70BBA895"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4.269.499,20</w:t>
            </w:r>
          </w:p>
        </w:tc>
        <w:tc>
          <w:tcPr>
            <w:tcW w:w="732" w:type="dxa"/>
          </w:tcPr>
          <w:p w14:paraId="6A3F5510"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100,00</w:t>
            </w:r>
          </w:p>
        </w:tc>
        <w:tc>
          <w:tcPr>
            <w:tcW w:w="716" w:type="dxa"/>
          </w:tcPr>
          <w:p w14:paraId="1AAF273F"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5.843</w:t>
            </w:r>
          </w:p>
        </w:tc>
        <w:tc>
          <w:tcPr>
            <w:tcW w:w="861" w:type="dxa"/>
          </w:tcPr>
          <w:p w14:paraId="4C816CF5"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100,00</w:t>
            </w:r>
          </w:p>
        </w:tc>
        <w:tc>
          <w:tcPr>
            <w:tcW w:w="1291" w:type="dxa"/>
          </w:tcPr>
          <w:p w14:paraId="1C3DE160"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4.480.165,50</w:t>
            </w:r>
          </w:p>
        </w:tc>
        <w:tc>
          <w:tcPr>
            <w:tcW w:w="727" w:type="dxa"/>
          </w:tcPr>
          <w:p w14:paraId="0CFBE8B5" w14:textId="77777777" w:rsidR="00E32357" w:rsidRPr="00331929" w:rsidRDefault="00E32357" w:rsidP="00996816">
            <w:pPr>
              <w:jc w:val="right"/>
              <w:rPr>
                <w:rFonts w:ascii="Times New Roman" w:hAnsi="Times New Roman" w:cs="Times New Roman"/>
                <w:sz w:val="18"/>
                <w:szCs w:val="18"/>
              </w:rPr>
            </w:pPr>
            <w:r w:rsidRPr="00331929">
              <w:rPr>
                <w:rFonts w:ascii="Times New Roman" w:hAnsi="Times New Roman" w:cs="Times New Roman"/>
                <w:sz w:val="18"/>
                <w:szCs w:val="18"/>
              </w:rPr>
              <w:t>100,00</w:t>
            </w:r>
          </w:p>
        </w:tc>
      </w:tr>
    </w:tbl>
    <w:p w14:paraId="79AA1A69" w14:textId="77777777" w:rsidR="00710BD9" w:rsidRPr="00331929" w:rsidRDefault="00710BD9" w:rsidP="00AC03A4">
      <w:pPr>
        <w:jc w:val="both"/>
        <w:rPr>
          <w:rFonts w:ascii="Times New Roman" w:hAnsi="Times New Roman" w:cs="Times New Roman"/>
          <w:lang w:val="es-AR"/>
        </w:rPr>
      </w:pPr>
    </w:p>
    <w:p w14:paraId="0DC4213D" w14:textId="77777777" w:rsidR="0055356C" w:rsidRPr="00331929" w:rsidRDefault="00A61284" w:rsidP="006803AD">
      <w:pPr>
        <w:ind w:left="142"/>
        <w:jc w:val="center"/>
        <w:rPr>
          <w:rFonts w:ascii="Times New Roman" w:hAnsi="Times New Roman" w:cs="Times New Roman"/>
          <w:lang w:val="es-AR"/>
        </w:rPr>
      </w:pPr>
      <w:r w:rsidRPr="00331929">
        <w:rPr>
          <w:rFonts w:ascii="Times New Roman" w:hAnsi="Times New Roman" w:cs="Times New Roman"/>
          <w:noProof/>
        </w:rPr>
        <w:drawing>
          <wp:inline distT="0" distB="0" distL="0" distR="0" wp14:anchorId="552E8326" wp14:editId="16021959">
            <wp:extent cx="5553075" cy="3048000"/>
            <wp:effectExtent l="0" t="0" r="952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83BD4A3" w14:textId="77777777" w:rsidR="00710BD9" w:rsidRPr="00331929" w:rsidRDefault="00710BD9" w:rsidP="006803AD">
      <w:pPr>
        <w:jc w:val="center"/>
        <w:rPr>
          <w:rFonts w:ascii="Times New Roman" w:hAnsi="Times New Roman" w:cs="Times New Roman"/>
          <w:sz w:val="20"/>
          <w:szCs w:val="20"/>
          <w:lang w:val="es-AR"/>
        </w:rPr>
      </w:pPr>
      <w:r w:rsidRPr="00331929">
        <w:rPr>
          <w:rFonts w:ascii="Times New Roman" w:hAnsi="Times New Roman" w:cs="Times New Roman"/>
          <w:sz w:val="20"/>
          <w:szCs w:val="20"/>
          <w:lang w:val="es-AR"/>
        </w:rPr>
        <w:t>Fuente: Elaboración propia en base a INDEC CNA-18 (res. preliminares) y CNA-02</w:t>
      </w:r>
    </w:p>
    <w:p w14:paraId="6A5942E2" w14:textId="77777777" w:rsidR="00A61284" w:rsidRPr="00331929" w:rsidRDefault="00A61284" w:rsidP="00AC03A4">
      <w:pPr>
        <w:ind w:left="142"/>
        <w:jc w:val="both"/>
        <w:rPr>
          <w:rFonts w:ascii="Times New Roman" w:hAnsi="Times New Roman" w:cs="Times New Roman"/>
          <w:lang w:val="es-AR"/>
        </w:rPr>
      </w:pPr>
    </w:p>
    <w:p w14:paraId="7D67D7DA" w14:textId="77777777" w:rsidR="00A61284" w:rsidRPr="00331929" w:rsidRDefault="005E3037" w:rsidP="00AC03A4">
      <w:pPr>
        <w:ind w:left="142"/>
        <w:jc w:val="both"/>
        <w:rPr>
          <w:rFonts w:ascii="Times New Roman" w:hAnsi="Times New Roman" w:cs="Times New Roman"/>
          <w:lang w:val="es-AR"/>
        </w:rPr>
      </w:pPr>
      <w:r w:rsidRPr="00331929">
        <w:rPr>
          <w:rFonts w:ascii="Times New Roman" w:hAnsi="Times New Roman" w:cs="Times New Roman"/>
          <w:noProof/>
        </w:rPr>
        <w:lastRenderedPageBreak/>
        <w:drawing>
          <wp:inline distT="0" distB="0" distL="0" distR="0" wp14:anchorId="26A606C7" wp14:editId="611B374D">
            <wp:extent cx="5448300" cy="287655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3D0BAC9" w14:textId="77777777" w:rsidR="00960441" w:rsidRPr="00331929" w:rsidRDefault="00EF59E9" w:rsidP="006803AD">
      <w:pPr>
        <w:ind w:left="142"/>
        <w:jc w:val="center"/>
        <w:rPr>
          <w:rFonts w:ascii="Times New Roman" w:hAnsi="Times New Roman" w:cs="Times New Roman"/>
          <w:sz w:val="20"/>
          <w:szCs w:val="20"/>
          <w:lang w:val="es-AR"/>
        </w:rPr>
      </w:pPr>
      <w:r w:rsidRPr="00331929">
        <w:rPr>
          <w:rFonts w:ascii="Times New Roman" w:hAnsi="Times New Roman" w:cs="Times New Roman"/>
          <w:sz w:val="20"/>
          <w:szCs w:val="20"/>
          <w:lang w:val="es-AR"/>
        </w:rPr>
        <w:t>Fuente: Elaboración</w:t>
      </w:r>
      <w:r w:rsidR="00004B20" w:rsidRPr="00331929">
        <w:rPr>
          <w:rFonts w:ascii="Times New Roman" w:hAnsi="Times New Roman" w:cs="Times New Roman"/>
          <w:sz w:val="20"/>
          <w:szCs w:val="20"/>
          <w:lang w:val="es-AR"/>
        </w:rPr>
        <w:t xml:space="preserve"> propia en</w:t>
      </w:r>
      <w:r w:rsidRPr="00331929">
        <w:rPr>
          <w:rFonts w:ascii="Times New Roman" w:hAnsi="Times New Roman" w:cs="Times New Roman"/>
          <w:sz w:val="20"/>
          <w:szCs w:val="20"/>
          <w:lang w:val="es-AR"/>
        </w:rPr>
        <w:t xml:space="preserve"> base a INDEC CNA-18 (res. preliminares) y CNA-02</w:t>
      </w:r>
    </w:p>
    <w:p w14:paraId="499A7CC6" w14:textId="2596A0D9" w:rsidR="000408B9" w:rsidRPr="00331929" w:rsidRDefault="00C703AF" w:rsidP="00AC03A4">
      <w:pPr>
        <w:spacing w:after="0"/>
        <w:ind w:left="142" w:firstLine="578"/>
        <w:jc w:val="both"/>
        <w:rPr>
          <w:rFonts w:ascii="Times New Roman" w:hAnsi="Times New Roman" w:cs="Times New Roman"/>
          <w:lang w:val="es-AR"/>
        </w:rPr>
      </w:pPr>
      <w:r w:rsidRPr="00331929">
        <w:rPr>
          <w:rFonts w:ascii="Times New Roman" w:hAnsi="Times New Roman" w:cs="Times New Roman"/>
          <w:lang w:val="es-AR"/>
        </w:rPr>
        <w:t>L</w:t>
      </w:r>
      <w:r w:rsidR="00AB79DC" w:rsidRPr="00331929">
        <w:rPr>
          <w:rFonts w:ascii="Times New Roman" w:hAnsi="Times New Roman" w:cs="Times New Roman"/>
          <w:lang w:val="es-AR"/>
        </w:rPr>
        <w:t>a configuración productiva de la provincia de Salta se ha caracterizado históricamente po</w:t>
      </w:r>
      <w:r w:rsidR="00664231" w:rsidRPr="00331929">
        <w:rPr>
          <w:rFonts w:ascii="Times New Roman" w:hAnsi="Times New Roman" w:cs="Times New Roman"/>
          <w:lang w:val="es-AR"/>
        </w:rPr>
        <w:t>r una estructura social polarizada</w:t>
      </w:r>
      <w:r w:rsidR="00AB79DC" w:rsidRPr="00331929">
        <w:rPr>
          <w:rFonts w:ascii="Times New Roman" w:hAnsi="Times New Roman" w:cs="Times New Roman"/>
          <w:lang w:val="es-AR"/>
        </w:rPr>
        <w:t xml:space="preserve">, </w:t>
      </w:r>
      <w:r w:rsidRPr="00331929">
        <w:rPr>
          <w:rFonts w:ascii="Times New Roman" w:hAnsi="Times New Roman" w:cs="Times New Roman"/>
          <w:lang w:val="es-AR"/>
        </w:rPr>
        <w:t xml:space="preserve">situación reflejada en la </w:t>
      </w:r>
      <w:r w:rsidR="00F602F8" w:rsidRPr="00331929">
        <w:rPr>
          <w:rFonts w:ascii="Times New Roman" w:hAnsi="Times New Roman" w:cs="Times New Roman"/>
          <w:lang w:val="es-AR"/>
        </w:rPr>
        <w:t>desigual distribución de las EAPs</w:t>
      </w:r>
      <w:r w:rsidR="00303EEC" w:rsidRPr="00331929">
        <w:rPr>
          <w:rFonts w:ascii="Times New Roman" w:hAnsi="Times New Roman" w:cs="Times New Roman"/>
          <w:lang w:val="es-AR"/>
        </w:rPr>
        <w:t xml:space="preserve"> </w:t>
      </w:r>
      <w:r w:rsidR="00F602F8" w:rsidRPr="00331929">
        <w:rPr>
          <w:rFonts w:ascii="Times New Roman" w:hAnsi="Times New Roman" w:cs="Times New Roman"/>
          <w:lang w:val="es-AR"/>
        </w:rPr>
        <w:t>y de la superficie</w:t>
      </w:r>
      <w:r w:rsidR="00B92DAF" w:rsidRPr="00331929">
        <w:rPr>
          <w:rFonts w:ascii="Times New Roman" w:hAnsi="Times New Roman" w:cs="Times New Roman"/>
          <w:lang w:val="es-AR"/>
        </w:rPr>
        <w:t xml:space="preserve"> que le corresponde a cada estrato de la escala. E</w:t>
      </w:r>
      <w:r w:rsidR="00360679" w:rsidRPr="00331929">
        <w:rPr>
          <w:rFonts w:ascii="Times New Roman" w:hAnsi="Times New Roman" w:cs="Times New Roman"/>
          <w:lang w:val="es-AR"/>
        </w:rPr>
        <w:t xml:space="preserve">n el año 2002 </w:t>
      </w:r>
      <w:r w:rsidR="00AB79DC" w:rsidRPr="00331929">
        <w:rPr>
          <w:rFonts w:ascii="Times New Roman" w:hAnsi="Times New Roman" w:cs="Times New Roman"/>
          <w:lang w:val="es-AR"/>
        </w:rPr>
        <w:t>las explotaciones agropecuarias</w:t>
      </w:r>
      <w:r w:rsidR="00360679" w:rsidRPr="00331929">
        <w:rPr>
          <w:rFonts w:ascii="Times New Roman" w:hAnsi="Times New Roman" w:cs="Times New Roman"/>
          <w:lang w:val="es-AR"/>
        </w:rPr>
        <w:t xml:space="preserve"> con una </w:t>
      </w:r>
      <w:r w:rsidR="00AB79DC" w:rsidRPr="00331929">
        <w:rPr>
          <w:rFonts w:ascii="Times New Roman" w:hAnsi="Times New Roman" w:cs="Times New Roman"/>
          <w:lang w:val="es-AR"/>
        </w:rPr>
        <w:t xml:space="preserve">superficie menor a </w:t>
      </w:r>
      <w:r w:rsidRPr="00331929">
        <w:rPr>
          <w:rFonts w:ascii="Times New Roman" w:hAnsi="Times New Roman" w:cs="Times New Roman"/>
          <w:lang w:val="es-AR"/>
        </w:rPr>
        <w:t xml:space="preserve">50 </w:t>
      </w:r>
      <w:r w:rsidR="00AB79DC" w:rsidRPr="00331929">
        <w:rPr>
          <w:rFonts w:ascii="Times New Roman" w:hAnsi="Times New Roman" w:cs="Times New Roman"/>
          <w:lang w:val="es-AR"/>
        </w:rPr>
        <w:t>h</w:t>
      </w:r>
      <w:r w:rsidR="00960441" w:rsidRPr="00331929">
        <w:rPr>
          <w:rFonts w:ascii="Times New Roman" w:hAnsi="Times New Roman" w:cs="Times New Roman"/>
          <w:lang w:val="es-AR"/>
        </w:rPr>
        <w:t xml:space="preserve">as </w:t>
      </w:r>
      <w:r w:rsidR="00AB79DC" w:rsidRPr="00331929">
        <w:rPr>
          <w:rFonts w:ascii="Times New Roman" w:hAnsi="Times New Roman" w:cs="Times New Roman"/>
          <w:lang w:val="es-AR"/>
        </w:rPr>
        <w:t>represent</w:t>
      </w:r>
      <w:r w:rsidR="00B92DAF" w:rsidRPr="00331929">
        <w:rPr>
          <w:rFonts w:ascii="Times New Roman" w:hAnsi="Times New Roman" w:cs="Times New Roman"/>
          <w:lang w:val="es-AR"/>
        </w:rPr>
        <w:t>aban el 63,04</w:t>
      </w:r>
      <w:r w:rsidR="00960441" w:rsidRPr="00331929">
        <w:rPr>
          <w:rFonts w:ascii="Times New Roman" w:hAnsi="Times New Roman" w:cs="Times New Roman"/>
          <w:lang w:val="es-AR"/>
        </w:rPr>
        <w:t xml:space="preserve">% </w:t>
      </w:r>
      <w:r w:rsidR="00360679" w:rsidRPr="00331929">
        <w:rPr>
          <w:rFonts w:ascii="Times New Roman" w:hAnsi="Times New Roman" w:cs="Times New Roman"/>
          <w:lang w:val="es-AR"/>
        </w:rPr>
        <w:t>de</w:t>
      </w:r>
      <w:r w:rsidR="002B79C9" w:rsidRPr="00331929">
        <w:rPr>
          <w:rFonts w:ascii="Times New Roman" w:hAnsi="Times New Roman" w:cs="Times New Roman"/>
          <w:lang w:val="es-AR"/>
        </w:rPr>
        <w:t>l total provincial</w:t>
      </w:r>
      <w:r w:rsidR="00360679" w:rsidRPr="00331929">
        <w:rPr>
          <w:rFonts w:ascii="Times New Roman" w:hAnsi="Times New Roman" w:cs="Times New Roman"/>
          <w:lang w:val="es-AR"/>
        </w:rPr>
        <w:t>, sin embargo</w:t>
      </w:r>
      <w:r w:rsidR="00664231" w:rsidRPr="00331929">
        <w:rPr>
          <w:rFonts w:ascii="Times New Roman" w:hAnsi="Times New Roman" w:cs="Times New Roman"/>
          <w:lang w:val="es-AR"/>
        </w:rPr>
        <w:t>,</w:t>
      </w:r>
      <w:r w:rsidR="00360679" w:rsidRPr="00331929">
        <w:rPr>
          <w:rFonts w:ascii="Times New Roman" w:hAnsi="Times New Roman" w:cs="Times New Roman"/>
          <w:lang w:val="es-AR"/>
        </w:rPr>
        <w:t xml:space="preserve"> sólo suma</w:t>
      </w:r>
      <w:r w:rsidR="002B79C9" w:rsidRPr="00331929">
        <w:rPr>
          <w:rFonts w:ascii="Times New Roman" w:hAnsi="Times New Roman" w:cs="Times New Roman"/>
          <w:lang w:val="es-AR"/>
        </w:rPr>
        <w:t xml:space="preserve">ban el </w:t>
      </w:r>
      <w:r w:rsidR="00E26A96" w:rsidRPr="00331929">
        <w:rPr>
          <w:rFonts w:ascii="Times New Roman" w:hAnsi="Times New Roman" w:cs="Times New Roman"/>
          <w:lang w:val="es-AR"/>
        </w:rPr>
        <w:t xml:space="preserve">0,71 % </w:t>
      </w:r>
      <w:r w:rsidR="00AB79DC" w:rsidRPr="00331929">
        <w:rPr>
          <w:rFonts w:ascii="Times New Roman" w:hAnsi="Times New Roman" w:cs="Times New Roman"/>
          <w:lang w:val="es-AR"/>
        </w:rPr>
        <w:t xml:space="preserve">de la superficie, </w:t>
      </w:r>
      <w:r w:rsidR="00E26A96" w:rsidRPr="00331929">
        <w:rPr>
          <w:rFonts w:ascii="Times New Roman" w:hAnsi="Times New Roman" w:cs="Times New Roman"/>
          <w:lang w:val="es-AR"/>
        </w:rPr>
        <w:t xml:space="preserve">en tanto que en el año 2018 </w:t>
      </w:r>
      <w:r w:rsidR="00B92DAF" w:rsidRPr="00331929">
        <w:rPr>
          <w:rFonts w:ascii="Times New Roman" w:hAnsi="Times New Roman" w:cs="Times New Roman"/>
          <w:lang w:val="es-AR"/>
        </w:rPr>
        <w:t xml:space="preserve">representaban el 64,28% </w:t>
      </w:r>
      <w:r w:rsidR="00E26A96" w:rsidRPr="00331929">
        <w:rPr>
          <w:rFonts w:ascii="Times New Roman" w:hAnsi="Times New Roman" w:cs="Times New Roman"/>
          <w:lang w:val="es-AR"/>
        </w:rPr>
        <w:t xml:space="preserve">con </w:t>
      </w:r>
      <w:r w:rsidR="002B79C9" w:rsidRPr="00331929">
        <w:rPr>
          <w:rFonts w:ascii="Times New Roman" w:hAnsi="Times New Roman" w:cs="Times New Roman"/>
          <w:lang w:val="es-AR"/>
        </w:rPr>
        <w:t xml:space="preserve">sólo el </w:t>
      </w:r>
      <w:r w:rsidR="00E26A96" w:rsidRPr="00331929">
        <w:rPr>
          <w:rFonts w:ascii="Times New Roman" w:hAnsi="Times New Roman" w:cs="Times New Roman"/>
          <w:lang w:val="es-AR"/>
        </w:rPr>
        <w:t>0,67 % de la superficie</w:t>
      </w:r>
      <w:r w:rsidR="002B79C9" w:rsidRPr="00331929">
        <w:rPr>
          <w:rFonts w:ascii="Times New Roman" w:hAnsi="Times New Roman" w:cs="Times New Roman"/>
          <w:lang w:val="es-AR"/>
        </w:rPr>
        <w:t xml:space="preserve"> provincial. </w:t>
      </w:r>
      <w:r w:rsidR="00E26A96" w:rsidRPr="00331929">
        <w:rPr>
          <w:rFonts w:ascii="Times New Roman" w:hAnsi="Times New Roman" w:cs="Times New Roman"/>
          <w:lang w:val="es-AR"/>
        </w:rPr>
        <w:t>En contraste</w:t>
      </w:r>
      <w:r w:rsidR="00B92DAF" w:rsidRPr="00331929">
        <w:rPr>
          <w:rFonts w:ascii="Times New Roman" w:hAnsi="Times New Roman" w:cs="Times New Roman"/>
          <w:lang w:val="es-AR"/>
        </w:rPr>
        <w:t>,</w:t>
      </w:r>
      <w:r w:rsidR="00E26A96" w:rsidRPr="00331929">
        <w:rPr>
          <w:rFonts w:ascii="Times New Roman" w:hAnsi="Times New Roman" w:cs="Times New Roman"/>
          <w:lang w:val="es-AR"/>
        </w:rPr>
        <w:t xml:space="preserve"> las EAP</w:t>
      </w:r>
      <w:r w:rsidR="00B92DAF" w:rsidRPr="00331929">
        <w:rPr>
          <w:rFonts w:ascii="Times New Roman" w:hAnsi="Times New Roman" w:cs="Times New Roman"/>
          <w:lang w:val="es-AR"/>
        </w:rPr>
        <w:t>s</w:t>
      </w:r>
      <w:r w:rsidR="00E26A96" w:rsidRPr="00331929">
        <w:rPr>
          <w:rFonts w:ascii="Times New Roman" w:hAnsi="Times New Roman" w:cs="Times New Roman"/>
          <w:lang w:val="es-AR"/>
        </w:rPr>
        <w:t xml:space="preserve"> con </w:t>
      </w:r>
      <w:r w:rsidR="00422A5E" w:rsidRPr="00331929">
        <w:rPr>
          <w:rFonts w:ascii="Times New Roman" w:hAnsi="Times New Roman" w:cs="Times New Roman"/>
          <w:lang w:val="es-AR"/>
        </w:rPr>
        <w:t xml:space="preserve">superficies </w:t>
      </w:r>
      <w:r w:rsidR="00F627D8" w:rsidRPr="00331929">
        <w:rPr>
          <w:rFonts w:ascii="Times New Roman" w:hAnsi="Times New Roman" w:cs="Times New Roman"/>
          <w:lang w:val="es-AR"/>
        </w:rPr>
        <w:t>mayores a</w:t>
      </w:r>
      <w:r w:rsidR="00B92DAF" w:rsidRPr="00331929">
        <w:rPr>
          <w:rFonts w:ascii="Times New Roman" w:hAnsi="Times New Roman" w:cs="Times New Roman"/>
          <w:lang w:val="es-AR"/>
        </w:rPr>
        <w:t xml:space="preserve"> </w:t>
      </w:r>
      <w:r w:rsidR="00E26A96" w:rsidRPr="00331929">
        <w:rPr>
          <w:rFonts w:ascii="Times New Roman" w:hAnsi="Times New Roman" w:cs="Times New Roman"/>
          <w:lang w:val="es-AR"/>
        </w:rPr>
        <w:t>10</w:t>
      </w:r>
      <w:r w:rsidR="00F627D8" w:rsidRPr="00331929">
        <w:rPr>
          <w:rFonts w:ascii="Times New Roman" w:hAnsi="Times New Roman" w:cs="Times New Roman"/>
          <w:lang w:val="es-AR"/>
        </w:rPr>
        <w:t>.</w:t>
      </w:r>
      <w:r w:rsidR="008D0E77">
        <w:rPr>
          <w:rFonts w:ascii="Times New Roman" w:hAnsi="Times New Roman" w:cs="Times New Roman"/>
          <w:lang w:val="es-AR"/>
        </w:rPr>
        <w:t>000 h</w:t>
      </w:r>
      <w:r w:rsidR="00E26A96" w:rsidRPr="00331929">
        <w:rPr>
          <w:rFonts w:ascii="Times New Roman" w:hAnsi="Times New Roman" w:cs="Times New Roman"/>
          <w:lang w:val="es-AR"/>
        </w:rPr>
        <w:t>as en el año 2002 eran el 1,34</w:t>
      </w:r>
      <w:r w:rsidR="00004B20" w:rsidRPr="00331929">
        <w:rPr>
          <w:rFonts w:ascii="Times New Roman" w:hAnsi="Times New Roman" w:cs="Times New Roman"/>
          <w:lang w:val="es-AR"/>
        </w:rPr>
        <w:t>% del</w:t>
      </w:r>
      <w:r w:rsidR="00422A5E" w:rsidRPr="00331929">
        <w:rPr>
          <w:rFonts w:ascii="Times New Roman" w:hAnsi="Times New Roman" w:cs="Times New Roman"/>
          <w:lang w:val="es-AR"/>
        </w:rPr>
        <w:t xml:space="preserve"> </w:t>
      </w:r>
      <w:r w:rsidR="00BF5BA3" w:rsidRPr="00331929">
        <w:rPr>
          <w:rFonts w:ascii="Times New Roman" w:hAnsi="Times New Roman" w:cs="Times New Roman"/>
          <w:lang w:val="es-AR"/>
        </w:rPr>
        <w:t>total y</w:t>
      </w:r>
      <w:r w:rsidR="00422A5E" w:rsidRPr="00331929">
        <w:rPr>
          <w:rFonts w:ascii="Times New Roman" w:hAnsi="Times New Roman" w:cs="Times New Roman"/>
          <w:lang w:val="es-AR"/>
        </w:rPr>
        <w:t xml:space="preserve"> </w:t>
      </w:r>
      <w:r w:rsidR="002B79C9" w:rsidRPr="00331929">
        <w:rPr>
          <w:rFonts w:ascii="Times New Roman" w:hAnsi="Times New Roman" w:cs="Times New Roman"/>
          <w:lang w:val="es-AR"/>
        </w:rPr>
        <w:t xml:space="preserve">contaban con un </w:t>
      </w:r>
      <w:r w:rsidR="00B92DAF" w:rsidRPr="00331929">
        <w:rPr>
          <w:rFonts w:ascii="Times New Roman" w:hAnsi="Times New Roman" w:cs="Times New Roman"/>
          <w:lang w:val="es-AR"/>
        </w:rPr>
        <w:t>45,</w:t>
      </w:r>
      <w:r w:rsidR="00E26A96" w:rsidRPr="00331929">
        <w:rPr>
          <w:rFonts w:ascii="Times New Roman" w:hAnsi="Times New Roman" w:cs="Times New Roman"/>
          <w:lang w:val="es-AR"/>
        </w:rPr>
        <w:t xml:space="preserve">08% de la superficie total, </w:t>
      </w:r>
      <w:r w:rsidR="00DF7DEF" w:rsidRPr="00331929">
        <w:rPr>
          <w:rFonts w:ascii="Times New Roman" w:hAnsi="Times New Roman" w:cs="Times New Roman"/>
          <w:lang w:val="es-AR"/>
        </w:rPr>
        <w:t xml:space="preserve">en tanto que para el 2018 se observa una </w:t>
      </w:r>
      <w:r w:rsidR="00BF5BA3" w:rsidRPr="00331929">
        <w:rPr>
          <w:rFonts w:ascii="Times New Roman" w:hAnsi="Times New Roman" w:cs="Times New Roman"/>
          <w:lang w:val="es-AR"/>
        </w:rPr>
        <w:t>acentuación en</w:t>
      </w:r>
      <w:r w:rsidR="00DF7DEF" w:rsidRPr="00331929">
        <w:rPr>
          <w:rFonts w:ascii="Times New Roman" w:hAnsi="Times New Roman" w:cs="Times New Roman"/>
          <w:lang w:val="es-AR"/>
        </w:rPr>
        <w:t xml:space="preserve"> la concentración de la tierra</w:t>
      </w:r>
      <w:r w:rsidR="00753B91" w:rsidRPr="00331929">
        <w:rPr>
          <w:rFonts w:ascii="Times New Roman" w:hAnsi="Times New Roman" w:cs="Times New Roman"/>
          <w:lang w:val="es-AR"/>
        </w:rPr>
        <w:t xml:space="preserve"> ya que </w:t>
      </w:r>
      <w:r w:rsidR="00AB79DC" w:rsidRPr="00331929">
        <w:rPr>
          <w:rFonts w:ascii="Times New Roman" w:hAnsi="Times New Roman" w:cs="Times New Roman"/>
          <w:lang w:val="es-AR"/>
        </w:rPr>
        <w:t>exp</w:t>
      </w:r>
      <w:r w:rsidR="008D0E77">
        <w:rPr>
          <w:rFonts w:ascii="Times New Roman" w:hAnsi="Times New Roman" w:cs="Times New Roman"/>
          <w:lang w:val="es-AR"/>
        </w:rPr>
        <w:t>lotaciones mayores a 10.000 has</w:t>
      </w:r>
      <w:r w:rsidR="00422A5E" w:rsidRPr="00331929">
        <w:rPr>
          <w:rFonts w:ascii="Times New Roman" w:hAnsi="Times New Roman" w:cs="Times New Roman"/>
          <w:lang w:val="es-AR"/>
        </w:rPr>
        <w:t xml:space="preserve"> representan el </w:t>
      </w:r>
      <w:r w:rsidR="00AB79DC" w:rsidRPr="00331929">
        <w:rPr>
          <w:rFonts w:ascii="Times New Roman" w:hAnsi="Times New Roman" w:cs="Times New Roman"/>
          <w:lang w:val="es-AR"/>
        </w:rPr>
        <w:t>1,20 % de las EAP</w:t>
      </w:r>
      <w:r w:rsidR="00B92DAF" w:rsidRPr="00331929">
        <w:rPr>
          <w:rFonts w:ascii="Times New Roman" w:hAnsi="Times New Roman" w:cs="Times New Roman"/>
          <w:lang w:val="es-AR"/>
        </w:rPr>
        <w:t>s</w:t>
      </w:r>
      <w:r w:rsidR="00422A5E" w:rsidRPr="00331929">
        <w:rPr>
          <w:rFonts w:ascii="Times New Roman" w:hAnsi="Times New Roman" w:cs="Times New Roman"/>
          <w:lang w:val="es-AR"/>
        </w:rPr>
        <w:t xml:space="preserve"> </w:t>
      </w:r>
      <w:r w:rsidR="00B92DAF" w:rsidRPr="00331929">
        <w:rPr>
          <w:rFonts w:ascii="Times New Roman" w:hAnsi="Times New Roman" w:cs="Times New Roman"/>
          <w:lang w:val="es-AR"/>
        </w:rPr>
        <w:t xml:space="preserve">y contaban </w:t>
      </w:r>
      <w:r w:rsidR="00422A5E" w:rsidRPr="00331929">
        <w:rPr>
          <w:rFonts w:ascii="Times New Roman" w:hAnsi="Times New Roman" w:cs="Times New Roman"/>
          <w:lang w:val="es-AR"/>
        </w:rPr>
        <w:t xml:space="preserve">con un </w:t>
      </w:r>
      <w:r w:rsidR="00AB79DC" w:rsidRPr="00331929">
        <w:rPr>
          <w:rFonts w:ascii="Times New Roman" w:hAnsi="Times New Roman" w:cs="Times New Roman"/>
          <w:lang w:val="es-AR"/>
        </w:rPr>
        <w:t>50,78% de la superficie</w:t>
      </w:r>
      <w:r w:rsidR="00422A5E" w:rsidRPr="00331929">
        <w:rPr>
          <w:rFonts w:ascii="Times New Roman" w:hAnsi="Times New Roman" w:cs="Times New Roman"/>
          <w:lang w:val="es-AR"/>
        </w:rPr>
        <w:t xml:space="preserve"> total de la provincia.</w:t>
      </w:r>
      <w:r w:rsidR="00B92DAF" w:rsidRPr="00331929">
        <w:rPr>
          <w:rFonts w:ascii="Times New Roman" w:hAnsi="Times New Roman" w:cs="Times New Roman"/>
          <w:lang w:val="es-AR"/>
        </w:rPr>
        <w:t xml:space="preserve"> </w:t>
      </w:r>
      <w:r w:rsidR="004D541F" w:rsidRPr="00331929">
        <w:rPr>
          <w:rFonts w:ascii="Times New Roman" w:hAnsi="Times New Roman" w:cs="Times New Roman"/>
          <w:lang w:val="es-AR"/>
        </w:rPr>
        <w:t>Los registros del 2018 evidencian un marcado crecimiento</w:t>
      </w:r>
      <w:r w:rsidR="00664231" w:rsidRPr="00331929">
        <w:rPr>
          <w:rFonts w:ascii="Times New Roman" w:hAnsi="Times New Roman" w:cs="Times New Roman"/>
          <w:lang w:val="es-AR"/>
        </w:rPr>
        <w:t xml:space="preserve"> en la polarización de la estructura agraria</w:t>
      </w:r>
      <w:r w:rsidR="00B92DAF" w:rsidRPr="00331929">
        <w:rPr>
          <w:rFonts w:ascii="Times New Roman" w:hAnsi="Times New Roman" w:cs="Times New Roman"/>
          <w:lang w:val="es-AR"/>
        </w:rPr>
        <w:t>, especialmente</w:t>
      </w:r>
      <w:r w:rsidR="008A22DE" w:rsidRPr="00331929">
        <w:rPr>
          <w:rFonts w:ascii="Times New Roman" w:hAnsi="Times New Roman" w:cs="Times New Roman"/>
          <w:lang w:val="es-AR"/>
        </w:rPr>
        <w:t xml:space="preserve"> debido a</w:t>
      </w:r>
      <w:r w:rsidR="004D541F" w:rsidRPr="00331929">
        <w:rPr>
          <w:rFonts w:ascii="Times New Roman" w:hAnsi="Times New Roman" w:cs="Times New Roman"/>
          <w:lang w:val="es-AR"/>
        </w:rPr>
        <w:t xml:space="preserve"> la concentración de la tierra en las EAPs mayores a 20.000</w:t>
      </w:r>
      <w:r w:rsidR="00B92DAF" w:rsidRPr="00331929">
        <w:rPr>
          <w:rFonts w:ascii="Times New Roman" w:hAnsi="Times New Roman" w:cs="Times New Roman"/>
          <w:lang w:val="es-AR"/>
        </w:rPr>
        <w:t xml:space="preserve"> </w:t>
      </w:r>
      <w:r w:rsidR="004D541F" w:rsidRPr="00331929">
        <w:rPr>
          <w:rFonts w:ascii="Times New Roman" w:hAnsi="Times New Roman" w:cs="Times New Roman"/>
          <w:lang w:val="es-AR"/>
        </w:rPr>
        <w:t>has.</w:t>
      </w:r>
    </w:p>
    <w:p w14:paraId="46B183E8" w14:textId="72F0E2EC" w:rsidR="004E3FB2" w:rsidRPr="00331929" w:rsidRDefault="004E3FB2" w:rsidP="00AC03A4">
      <w:pPr>
        <w:spacing w:after="0"/>
        <w:ind w:left="142" w:firstLine="578"/>
        <w:jc w:val="both"/>
        <w:rPr>
          <w:rFonts w:ascii="Times New Roman" w:hAnsi="Times New Roman" w:cs="Times New Roman"/>
          <w:lang w:val="es-AR"/>
        </w:rPr>
      </w:pPr>
      <w:r w:rsidRPr="00331929">
        <w:rPr>
          <w:rFonts w:ascii="Times New Roman" w:hAnsi="Times New Roman" w:cs="Times New Roman"/>
          <w:lang w:val="es-AR"/>
        </w:rPr>
        <w:t>En l</w:t>
      </w:r>
      <w:r w:rsidR="00B92DAF" w:rsidRPr="00331929">
        <w:rPr>
          <w:rFonts w:ascii="Times New Roman" w:hAnsi="Times New Roman" w:cs="Times New Roman"/>
          <w:lang w:val="es-AR"/>
        </w:rPr>
        <w:t>as unidades de menor extensión (</w:t>
      </w:r>
      <w:r w:rsidRPr="00331929">
        <w:rPr>
          <w:rFonts w:ascii="Times New Roman" w:hAnsi="Times New Roman" w:cs="Times New Roman"/>
          <w:lang w:val="es-AR"/>
        </w:rPr>
        <w:t xml:space="preserve">menos de </w:t>
      </w:r>
      <w:r w:rsidR="00BF5BA3" w:rsidRPr="00331929">
        <w:rPr>
          <w:rFonts w:ascii="Times New Roman" w:hAnsi="Times New Roman" w:cs="Times New Roman"/>
          <w:lang w:val="es-AR"/>
        </w:rPr>
        <w:t>50</w:t>
      </w:r>
      <w:r w:rsidR="008D0E77">
        <w:rPr>
          <w:rFonts w:ascii="Times New Roman" w:hAnsi="Times New Roman" w:cs="Times New Roman"/>
          <w:lang w:val="es-AR"/>
        </w:rPr>
        <w:t xml:space="preserve"> h</w:t>
      </w:r>
      <w:r w:rsidRPr="00331929">
        <w:rPr>
          <w:rFonts w:ascii="Times New Roman" w:hAnsi="Times New Roman" w:cs="Times New Roman"/>
          <w:lang w:val="es-AR"/>
        </w:rPr>
        <w:t>as</w:t>
      </w:r>
      <w:r w:rsidR="00B92DAF" w:rsidRPr="00331929">
        <w:rPr>
          <w:rFonts w:ascii="Times New Roman" w:hAnsi="Times New Roman" w:cs="Times New Roman"/>
          <w:lang w:val="es-AR"/>
        </w:rPr>
        <w:t>)</w:t>
      </w:r>
      <w:r w:rsidRPr="00331929">
        <w:rPr>
          <w:rFonts w:ascii="Times New Roman" w:hAnsi="Times New Roman" w:cs="Times New Roman"/>
          <w:lang w:val="es-AR"/>
        </w:rPr>
        <w:t xml:space="preserve"> se ubica</w:t>
      </w:r>
      <w:r w:rsidR="00B92DAF" w:rsidRPr="00331929">
        <w:rPr>
          <w:rFonts w:ascii="Times New Roman" w:hAnsi="Times New Roman" w:cs="Times New Roman"/>
          <w:lang w:val="es-AR"/>
        </w:rPr>
        <w:t xml:space="preserve"> a los/as productores/a</w:t>
      </w:r>
      <w:r w:rsidR="008A22DE" w:rsidRPr="00331929">
        <w:rPr>
          <w:rFonts w:ascii="Times New Roman" w:hAnsi="Times New Roman" w:cs="Times New Roman"/>
          <w:lang w:val="es-AR"/>
        </w:rPr>
        <w:t>s comprendidos</w:t>
      </w:r>
      <w:r w:rsidR="00BF5BA3" w:rsidRPr="00331929">
        <w:rPr>
          <w:rFonts w:ascii="Times New Roman" w:hAnsi="Times New Roman" w:cs="Times New Roman"/>
          <w:lang w:val="es-AR"/>
        </w:rPr>
        <w:t xml:space="preserve"> en la categoría </w:t>
      </w:r>
      <w:r w:rsidR="00BF5BA3" w:rsidRPr="00331929">
        <w:rPr>
          <w:rFonts w:ascii="Times New Roman" w:hAnsi="Times New Roman" w:cs="Times New Roman"/>
          <w:i/>
          <w:lang w:val="es-AR"/>
        </w:rPr>
        <w:t>Agricultura Familiar</w:t>
      </w:r>
      <w:r w:rsidRPr="00331929">
        <w:rPr>
          <w:rFonts w:ascii="Times New Roman" w:hAnsi="Times New Roman" w:cs="Times New Roman"/>
          <w:lang w:val="es-AR"/>
        </w:rPr>
        <w:t xml:space="preserve">, </w:t>
      </w:r>
      <w:r w:rsidR="00B77441" w:rsidRPr="00331929">
        <w:rPr>
          <w:rFonts w:ascii="Times New Roman" w:hAnsi="Times New Roman" w:cs="Times New Roman"/>
          <w:lang w:val="es-AR"/>
        </w:rPr>
        <w:t xml:space="preserve">categoría que engloba </w:t>
      </w:r>
      <w:r w:rsidR="00B92DAF" w:rsidRPr="00331929">
        <w:rPr>
          <w:rFonts w:ascii="Times New Roman" w:hAnsi="Times New Roman" w:cs="Times New Roman"/>
          <w:lang w:val="es-AR"/>
        </w:rPr>
        <w:t xml:space="preserve">a </w:t>
      </w:r>
      <w:r w:rsidRPr="00331929">
        <w:rPr>
          <w:rFonts w:ascii="Times New Roman" w:hAnsi="Times New Roman" w:cs="Times New Roman"/>
          <w:lang w:val="es-AR"/>
        </w:rPr>
        <w:t>diferentes modalidades y grados de articulación con el mercado y variadas lógicas de organización productiva (productores familiares capitalizados, campesinos,</w:t>
      </w:r>
      <w:r w:rsidR="00BF5BA3" w:rsidRPr="00331929">
        <w:rPr>
          <w:rFonts w:ascii="Times New Roman" w:hAnsi="Times New Roman" w:cs="Times New Roman"/>
          <w:lang w:val="es-AR"/>
        </w:rPr>
        <w:t xml:space="preserve"> indígenas</w:t>
      </w:r>
      <w:r w:rsidR="008A22DE" w:rsidRPr="00331929">
        <w:rPr>
          <w:rFonts w:ascii="Times New Roman" w:hAnsi="Times New Roman" w:cs="Times New Roman"/>
          <w:lang w:val="es-AR"/>
        </w:rPr>
        <w:t>,</w:t>
      </w:r>
      <w:r w:rsidRPr="00331929">
        <w:rPr>
          <w:rFonts w:ascii="Times New Roman" w:hAnsi="Times New Roman" w:cs="Times New Roman"/>
          <w:lang w:val="es-AR"/>
        </w:rPr>
        <w:t xml:space="preserve"> etc.). Su distribución espacial mantien</w:t>
      </w:r>
      <w:r w:rsidR="002E496D" w:rsidRPr="00331929">
        <w:rPr>
          <w:rFonts w:ascii="Times New Roman" w:hAnsi="Times New Roman" w:cs="Times New Roman"/>
          <w:lang w:val="es-AR"/>
        </w:rPr>
        <w:t xml:space="preserve">e </w:t>
      </w:r>
      <w:r w:rsidR="00B92DAF" w:rsidRPr="00331929">
        <w:rPr>
          <w:rFonts w:ascii="Times New Roman" w:hAnsi="Times New Roman" w:cs="Times New Roman"/>
          <w:lang w:val="es-AR"/>
        </w:rPr>
        <w:t xml:space="preserve">un </w:t>
      </w:r>
      <w:r w:rsidR="002E496D" w:rsidRPr="00331929">
        <w:rPr>
          <w:rFonts w:ascii="Times New Roman" w:hAnsi="Times New Roman" w:cs="Times New Roman"/>
          <w:lang w:val="es-AR"/>
        </w:rPr>
        <w:t xml:space="preserve">correlato con aquellas áreas </w:t>
      </w:r>
      <w:r w:rsidRPr="00331929">
        <w:rPr>
          <w:rFonts w:ascii="Times New Roman" w:hAnsi="Times New Roman" w:cs="Times New Roman"/>
          <w:lang w:val="es-AR"/>
        </w:rPr>
        <w:t>orientadas</w:t>
      </w:r>
      <w:r w:rsidR="002E496D" w:rsidRPr="00331929">
        <w:rPr>
          <w:rFonts w:ascii="Times New Roman" w:hAnsi="Times New Roman" w:cs="Times New Roman"/>
          <w:lang w:val="es-AR"/>
        </w:rPr>
        <w:t xml:space="preserve"> a la p</w:t>
      </w:r>
      <w:r w:rsidR="00B92DAF" w:rsidRPr="00331929">
        <w:rPr>
          <w:rFonts w:ascii="Times New Roman" w:hAnsi="Times New Roman" w:cs="Times New Roman"/>
          <w:lang w:val="es-AR"/>
        </w:rPr>
        <w:t>roducción hortícola, tabacalera</w:t>
      </w:r>
      <w:r w:rsidR="002E496D" w:rsidRPr="00331929">
        <w:rPr>
          <w:rFonts w:ascii="Times New Roman" w:hAnsi="Times New Roman" w:cs="Times New Roman"/>
          <w:lang w:val="es-AR"/>
        </w:rPr>
        <w:t xml:space="preserve"> y áreas</w:t>
      </w:r>
      <w:r w:rsidRPr="00331929">
        <w:rPr>
          <w:rFonts w:ascii="Times New Roman" w:hAnsi="Times New Roman" w:cs="Times New Roman"/>
          <w:lang w:val="es-AR"/>
        </w:rPr>
        <w:t xml:space="preserve"> ded</w:t>
      </w:r>
      <w:r w:rsidR="002E496D" w:rsidRPr="00331929">
        <w:rPr>
          <w:rFonts w:ascii="Times New Roman" w:hAnsi="Times New Roman" w:cs="Times New Roman"/>
          <w:lang w:val="es-AR"/>
        </w:rPr>
        <w:t>icadas a la ganadería extensiva.</w:t>
      </w:r>
    </w:p>
    <w:p w14:paraId="231E3C2A" w14:textId="040FF851" w:rsidR="00CF00D5" w:rsidRPr="00331929" w:rsidRDefault="00F5560E" w:rsidP="00AC03A4">
      <w:pPr>
        <w:ind w:left="142" w:firstLine="578"/>
        <w:jc w:val="both"/>
        <w:rPr>
          <w:rFonts w:ascii="Times New Roman" w:hAnsi="Times New Roman" w:cs="Times New Roman"/>
          <w:lang w:val="es-AR"/>
        </w:rPr>
      </w:pPr>
      <w:r w:rsidRPr="00331929">
        <w:rPr>
          <w:rFonts w:ascii="Times New Roman" w:hAnsi="Times New Roman" w:cs="Times New Roman"/>
          <w:lang w:val="es-AR"/>
        </w:rPr>
        <w:t xml:space="preserve">El proceso de concentración de la tierra también estuvo acompañado de </w:t>
      </w:r>
      <w:r w:rsidR="008D0E77">
        <w:rPr>
          <w:rFonts w:ascii="Times New Roman" w:hAnsi="Times New Roman" w:cs="Times New Roman"/>
          <w:lang w:val="es-AR"/>
        </w:rPr>
        <w:t xml:space="preserve">la aparición de </w:t>
      </w:r>
      <w:r w:rsidRPr="00331929">
        <w:rPr>
          <w:rFonts w:ascii="Times New Roman" w:hAnsi="Times New Roman" w:cs="Times New Roman"/>
          <w:lang w:val="es-AR"/>
        </w:rPr>
        <w:t xml:space="preserve">nuevas formas de organización de la producción y </w:t>
      </w:r>
      <w:r w:rsidR="008A22DE" w:rsidRPr="00331929">
        <w:rPr>
          <w:rFonts w:ascii="Times New Roman" w:hAnsi="Times New Roman" w:cs="Times New Roman"/>
          <w:lang w:val="es-AR"/>
        </w:rPr>
        <w:t xml:space="preserve">a </w:t>
      </w:r>
      <w:r w:rsidRPr="00331929">
        <w:rPr>
          <w:rFonts w:ascii="Times New Roman" w:hAnsi="Times New Roman" w:cs="Times New Roman"/>
          <w:lang w:val="es-AR"/>
        </w:rPr>
        <w:t>la emergencia de nuevos ac</w:t>
      </w:r>
      <w:r w:rsidR="001614C1" w:rsidRPr="00331929">
        <w:rPr>
          <w:rFonts w:ascii="Times New Roman" w:hAnsi="Times New Roman" w:cs="Times New Roman"/>
          <w:lang w:val="es-AR"/>
        </w:rPr>
        <w:t>tores en el espacio agrario</w:t>
      </w:r>
      <w:r w:rsidR="00294E67" w:rsidRPr="00331929">
        <w:rPr>
          <w:rFonts w:ascii="Times New Roman" w:hAnsi="Times New Roman" w:cs="Times New Roman"/>
          <w:lang w:val="es-AR"/>
        </w:rPr>
        <w:t xml:space="preserve"> salteño</w:t>
      </w:r>
      <w:r w:rsidR="00B92DAF" w:rsidRPr="00331929">
        <w:rPr>
          <w:rFonts w:ascii="Times New Roman" w:hAnsi="Times New Roman" w:cs="Times New Roman"/>
          <w:lang w:val="es-AR"/>
        </w:rPr>
        <w:t>. S</w:t>
      </w:r>
      <w:r w:rsidR="00294E67" w:rsidRPr="00331929">
        <w:rPr>
          <w:rFonts w:ascii="Times New Roman" w:hAnsi="Times New Roman" w:cs="Times New Roman"/>
          <w:lang w:val="es-AR"/>
        </w:rPr>
        <w:t xml:space="preserve">e destaca como característica </w:t>
      </w:r>
      <w:r w:rsidR="00B92DAF" w:rsidRPr="00331929">
        <w:rPr>
          <w:rFonts w:ascii="Times New Roman" w:hAnsi="Times New Roman" w:cs="Times New Roman"/>
          <w:lang w:val="es-AR"/>
        </w:rPr>
        <w:t xml:space="preserve">de este proceso, </w:t>
      </w:r>
      <w:r w:rsidR="00707F00" w:rsidRPr="00331929">
        <w:rPr>
          <w:rFonts w:ascii="Times New Roman" w:hAnsi="Times New Roman" w:cs="Times New Roman"/>
          <w:lang w:val="es-AR"/>
        </w:rPr>
        <w:t>la compra de grandes extensiones por</w:t>
      </w:r>
      <w:r w:rsidR="008A22DE" w:rsidRPr="00331929">
        <w:rPr>
          <w:rFonts w:ascii="Times New Roman" w:hAnsi="Times New Roman" w:cs="Times New Roman"/>
          <w:lang w:val="es-AR"/>
        </w:rPr>
        <w:t xml:space="preserve"> parte de</w:t>
      </w:r>
      <w:r w:rsidR="00707F00" w:rsidRPr="00331929">
        <w:rPr>
          <w:rFonts w:ascii="Times New Roman" w:hAnsi="Times New Roman" w:cs="Times New Roman"/>
          <w:lang w:val="es-AR"/>
        </w:rPr>
        <w:t xml:space="preserve"> inversores urbanos y externos</w:t>
      </w:r>
      <w:r w:rsidR="00B92DAF" w:rsidRPr="00331929">
        <w:rPr>
          <w:rFonts w:ascii="Times New Roman" w:hAnsi="Times New Roman" w:cs="Times New Roman"/>
          <w:lang w:val="es-AR"/>
        </w:rPr>
        <w:t xml:space="preserve"> al ámbito provincial</w:t>
      </w:r>
      <w:r w:rsidR="00707F00" w:rsidRPr="00331929">
        <w:rPr>
          <w:rFonts w:ascii="Times New Roman" w:hAnsi="Times New Roman" w:cs="Times New Roman"/>
          <w:lang w:val="es-AR"/>
        </w:rPr>
        <w:t>, el desalojo de campesinos e indígenas de áreas productivas de reciente expansión y los nuevos modelos de gestión agrícola donde predomina la figura del arrendamiento</w:t>
      </w:r>
      <w:r w:rsidR="0070695E" w:rsidRPr="00331929">
        <w:rPr>
          <w:rFonts w:ascii="Times New Roman" w:hAnsi="Times New Roman" w:cs="Times New Roman"/>
          <w:lang w:val="es-AR"/>
        </w:rPr>
        <w:t>. Desde el punto de vista ambiental, estos modelos traen aparejada</w:t>
      </w:r>
      <w:r w:rsidR="00707F00" w:rsidRPr="00331929">
        <w:rPr>
          <w:rFonts w:ascii="Times New Roman" w:hAnsi="Times New Roman" w:cs="Times New Roman"/>
          <w:lang w:val="es-AR"/>
        </w:rPr>
        <w:t xml:space="preserve"> la deforestación </w:t>
      </w:r>
      <w:r w:rsidR="008A22DE" w:rsidRPr="00331929">
        <w:rPr>
          <w:rFonts w:ascii="Times New Roman" w:hAnsi="Times New Roman" w:cs="Times New Roman"/>
          <w:lang w:val="es-AR"/>
        </w:rPr>
        <w:t>de grandes áreas boscosas</w:t>
      </w:r>
      <w:r w:rsidR="0070695E" w:rsidRPr="00331929">
        <w:rPr>
          <w:rFonts w:ascii="Times New Roman" w:hAnsi="Times New Roman" w:cs="Times New Roman"/>
          <w:lang w:val="es-AR"/>
        </w:rPr>
        <w:t xml:space="preserve"> y </w:t>
      </w:r>
      <w:r w:rsidR="00AC0523">
        <w:rPr>
          <w:rFonts w:ascii="Times New Roman" w:hAnsi="Times New Roman" w:cs="Times New Roman"/>
          <w:lang w:val="es-AR"/>
        </w:rPr>
        <w:t xml:space="preserve">la aplicación </w:t>
      </w:r>
      <w:r w:rsidR="0070695E" w:rsidRPr="00331929">
        <w:rPr>
          <w:rFonts w:ascii="Times New Roman" w:hAnsi="Times New Roman" w:cs="Times New Roman"/>
          <w:lang w:val="es-AR"/>
        </w:rPr>
        <w:t xml:space="preserve">de paquetes tecnológicos con </w:t>
      </w:r>
      <w:r w:rsidR="0070695E" w:rsidRPr="00AC0523">
        <w:rPr>
          <w:rFonts w:ascii="Times New Roman" w:hAnsi="Times New Roman" w:cs="Times New Roman"/>
          <w:lang w:val="es-AR"/>
        </w:rPr>
        <w:t>uso</w:t>
      </w:r>
      <w:r w:rsidR="0070695E" w:rsidRPr="00331929">
        <w:rPr>
          <w:rFonts w:ascii="Times New Roman" w:hAnsi="Times New Roman" w:cs="Times New Roman"/>
          <w:lang w:val="es-AR"/>
        </w:rPr>
        <w:t xml:space="preserve"> in</w:t>
      </w:r>
      <w:r w:rsidR="00EA6AB1">
        <w:rPr>
          <w:rFonts w:ascii="Times New Roman" w:hAnsi="Times New Roman" w:cs="Times New Roman"/>
          <w:lang w:val="es-AR"/>
        </w:rPr>
        <w:t xml:space="preserve">tensivo de agroquímicos en </w:t>
      </w:r>
      <w:r w:rsidR="0070695E" w:rsidRPr="00331929">
        <w:rPr>
          <w:rFonts w:ascii="Times New Roman" w:hAnsi="Times New Roman" w:cs="Times New Roman"/>
          <w:lang w:val="es-AR"/>
        </w:rPr>
        <w:t>ambientes ecológicam</w:t>
      </w:r>
      <w:r w:rsidR="008A22DE" w:rsidRPr="00331929">
        <w:rPr>
          <w:rFonts w:ascii="Times New Roman" w:hAnsi="Times New Roman" w:cs="Times New Roman"/>
          <w:lang w:val="es-AR"/>
        </w:rPr>
        <w:t xml:space="preserve">ente sensibles, como es el caso de </w:t>
      </w:r>
      <w:r w:rsidR="0070695E" w:rsidRPr="00331929">
        <w:rPr>
          <w:rFonts w:ascii="Times New Roman" w:hAnsi="Times New Roman" w:cs="Times New Roman"/>
          <w:lang w:val="es-AR"/>
        </w:rPr>
        <w:t>la Llanura chaqueña</w:t>
      </w:r>
      <w:r w:rsidR="00707F00" w:rsidRPr="00331929">
        <w:rPr>
          <w:rFonts w:ascii="Times New Roman" w:hAnsi="Times New Roman" w:cs="Times New Roman"/>
          <w:lang w:val="es-AR"/>
        </w:rPr>
        <w:t>.</w:t>
      </w:r>
    </w:p>
    <w:p w14:paraId="22145765" w14:textId="77777777" w:rsidR="00EA6AB1" w:rsidRDefault="00EA6AB1" w:rsidP="00AC03A4">
      <w:pPr>
        <w:ind w:left="142" w:firstLine="578"/>
        <w:jc w:val="both"/>
        <w:rPr>
          <w:rFonts w:ascii="Times New Roman" w:hAnsi="Times New Roman" w:cs="Times New Roman"/>
          <w:b/>
          <w:lang w:val="es-AR"/>
        </w:rPr>
      </w:pPr>
    </w:p>
    <w:p w14:paraId="59F6EBC7" w14:textId="7928821C" w:rsidR="008C25DA" w:rsidRPr="00331929" w:rsidRDefault="004477BC" w:rsidP="00EA6AB1">
      <w:pPr>
        <w:spacing w:after="120"/>
        <w:ind w:left="142" w:firstLine="578"/>
        <w:jc w:val="both"/>
        <w:rPr>
          <w:rFonts w:ascii="Times New Roman" w:hAnsi="Times New Roman" w:cs="Times New Roman"/>
          <w:b/>
          <w:lang w:val="es-AR"/>
        </w:rPr>
      </w:pPr>
      <w:r w:rsidRPr="00331929">
        <w:rPr>
          <w:rFonts w:ascii="Times New Roman" w:hAnsi="Times New Roman" w:cs="Times New Roman"/>
          <w:b/>
          <w:lang w:val="es-AR"/>
        </w:rPr>
        <w:lastRenderedPageBreak/>
        <w:t>Uso del Suelo</w:t>
      </w:r>
      <w:r w:rsidR="00CF00D5" w:rsidRPr="00331929">
        <w:rPr>
          <w:rFonts w:ascii="Times New Roman" w:hAnsi="Times New Roman" w:cs="Times New Roman"/>
          <w:b/>
          <w:lang w:val="es-AR"/>
        </w:rPr>
        <w:t xml:space="preserve"> y </w:t>
      </w:r>
      <w:r w:rsidR="006803AD">
        <w:rPr>
          <w:rFonts w:ascii="Times New Roman" w:hAnsi="Times New Roman" w:cs="Times New Roman"/>
          <w:b/>
          <w:lang w:val="es-AR"/>
        </w:rPr>
        <w:t>“</w:t>
      </w:r>
      <w:r w:rsidR="00CF00D5" w:rsidRPr="00331929">
        <w:rPr>
          <w:rFonts w:ascii="Times New Roman" w:hAnsi="Times New Roman" w:cs="Times New Roman"/>
          <w:b/>
          <w:lang w:val="es-AR"/>
        </w:rPr>
        <w:t>Agriculturización</w:t>
      </w:r>
      <w:r w:rsidR="006803AD">
        <w:rPr>
          <w:rFonts w:ascii="Times New Roman" w:hAnsi="Times New Roman" w:cs="Times New Roman"/>
          <w:b/>
          <w:lang w:val="es-AR"/>
        </w:rPr>
        <w:t>”</w:t>
      </w:r>
      <w:r w:rsidR="00CF00D5" w:rsidRPr="00331929">
        <w:rPr>
          <w:rFonts w:ascii="Times New Roman" w:hAnsi="Times New Roman" w:cs="Times New Roman"/>
          <w:b/>
          <w:lang w:val="es-AR"/>
        </w:rPr>
        <w:t xml:space="preserve"> </w:t>
      </w:r>
    </w:p>
    <w:p w14:paraId="70C006EF" w14:textId="1C4AB09F" w:rsidR="00D17C38" w:rsidRPr="00331929" w:rsidRDefault="00D17C38" w:rsidP="00AC03A4">
      <w:pPr>
        <w:spacing w:after="0"/>
        <w:ind w:left="142" w:firstLine="578"/>
        <w:jc w:val="both"/>
        <w:rPr>
          <w:rFonts w:ascii="Times New Roman" w:hAnsi="Times New Roman" w:cs="Times New Roman"/>
          <w:b/>
          <w:lang w:val="es-AR"/>
        </w:rPr>
      </w:pPr>
      <w:r w:rsidRPr="00331929">
        <w:rPr>
          <w:rFonts w:ascii="Times New Roman" w:hAnsi="Times New Roman" w:cs="Times New Roman"/>
          <w:lang w:val="es-AR"/>
        </w:rPr>
        <w:t>Algunos autores coinciden en señalar que nos encontramos a nivel mundial ante un cambio en l</w:t>
      </w:r>
      <w:r w:rsidR="00BD33CD" w:rsidRPr="00331929">
        <w:rPr>
          <w:rFonts w:ascii="Times New Roman" w:hAnsi="Times New Roman" w:cs="Times New Roman"/>
          <w:lang w:val="es-AR"/>
        </w:rPr>
        <w:t>a lógica de acumulación capitalista (</w:t>
      </w:r>
      <w:r w:rsidRPr="00331929">
        <w:rPr>
          <w:rFonts w:ascii="Times New Roman" w:hAnsi="Times New Roman" w:cs="Times New Roman"/>
          <w:lang w:val="es-AR"/>
        </w:rPr>
        <w:t>Harvey</w:t>
      </w:r>
      <w:r w:rsidR="00AC0523">
        <w:rPr>
          <w:rFonts w:ascii="Times New Roman" w:hAnsi="Times New Roman" w:cs="Times New Roman"/>
          <w:lang w:val="es-AR"/>
        </w:rPr>
        <w:t xml:space="preserve">, </w:t>
      </w:r>
      <w:r w:rsidRPr="00331929">
        <w:rPr>
          <w:rFonts w:ascii="Times New Roman" w:hAnsi="Times New Roman" w:cs="Times New Roman"/>
          <w:lang w:val="es-AR"/>
        </w:rPr>
        <w:t>2004), en tanto Wall</w:t>
      </w:r>
      <w:r w:rsidR="00BD33CD" w:rsidRPr="00331929">
        <w:rPr>
          <w:rFonts w:ascii="Times New Roman" w:hAnsi="Times New Roman" w:cs="Times New Roman"/>
          <w:lang w:val="es-AR"/>
        </w:rPr>
        <w:t xml:space="preserve">erstein (1997) y Toledo (1992) </w:t>
      </w:r>
      <w:r w:rsidRPr="00331929">
        <w:rPr>
          <w:rFonts w:ascii="Times New Roman" w:hAnsi="Times New Roman" w:cs="Times New Roman"/>
          <w:lang w:val="es-AR"/>
        </w:rPr>
        <w:t>nos hablan de una crisis signada por el agotamiento de la racionalidad productivista e instrumental de la modernidad. Existe coincidencia en señalar que las contradicciones del sistema se han profundizado en las últimas cuatro décadas y se expresan en una expansión del despojo capitalista, a partir de un dinamismo sostenido en base a un salto científico</w:t>
      </w:r>
      <w:r w:rsidR="008A22DE" w:rsidRPr="00331929">
        <w:rPr>
          <w:rFonts w:ascii="Times New Roman" w:hAnsi="Times New Roman" w:cs="Times New Roman"/>
          <w:lang w:val="es-AR"/>
        </w:rPr>
        <w:t>-</w:t>
      </w:r>
      <w:r w:rsidRPr="00331929">
        <w:rPr>
          <w:rFonts w:ascii="Times New Roman" w:hAnsi="Times New Roman" w:cs="Times New Roman"/>
          <w:lang w:val="es-AR"/>
        </w:rPr>
        <w:t xml:space="preserve">tecnológico que está ampliando la escala de apropiación privada del trabajo colectivo y </w:t>
      </w:r>
      <w:r w:rsidR="00BD33CD" w:rsidRPr="00331929">
        <w:rPr>
          <w:rFonts w:ascii="Times New Roman" w:hAnsi="Times New Roman" w:cs="Times New Roman"/>
          <w:lang w:val="es-AR"/>
        </w:rPr>
        <w:t xml:space="preserve">de </w:t>
      </w:r>
      <w:r w:rsidRPr="00331929">
        <w:rPr>
          <w:rFonts w:ascii="Times New Roman" w:hAnsi="Times New Roman" w:cs="Times New Roman"/>
          <w:lang w:val="es-AR"/>
        </w:rPr>
        <w:t>la naturaleza. Se consolida en nuestro continente lo que Seoane (2013) den</w:t>
      </w:r>
      <w:r w:rsidR="008A22DE" w:rsidRPr="00331929">
        <w:rPr>
          <w:rFonts w:ascii="Times New Roman" w:hAnsi="Times New Roman" w:cs="Times New Roman"/>
          <w:lang w:val="es-AR"/>
        </w:rPr>
        <w:t>omina “una nueva ofensi</w:t>
      </w:r>
      <w:r w:rsidRPr="00331929">
        <w:rPr>
          <w:rFonts w:ascii="Times New Roman" w:hAnsi="Times New Roman" w:cs="Times New Roman"/>
          <w:lang w:val="es-AR"/>
        </w:rPr>
        <w:t>va extractivista”</w:t>
      </w:r>
      <w:r w:rsidRPr="00331929">
        <w:rPr>
          <w:rStyle w:val="Refdenotaalpie"/>
          <w:rFonts w:ascii="Times New Roman" w:hAnsi="Times New Roman" w:cs="Times New Roman"/>
          <w:lang w:val="es-AR"/>
        </w:rPr>
        <w:footnoteReference w:id="5"/>
      </w:r>
      <w:r w:rsidR="00BD33CD" w:rsidRPr="00331929">
        <w:rPr>
          <w:rFonts w:ascii="Times New Roman" w:hAnsi="Times New Roman" w:cs="Times New Roman"/>
          <w:lang w:val="es-AR"/>
        </w:rPr>
        <w:t>.</w:t>
      </w:r>
    </w:p>
    <w:p w14:paraId="11D6F045" w14:textId="0C56E42D" w:rsidR="00707F00" w:rsidRPr="00331929" w:rsidRDefault="00707F00" w:rsidP="00AC03A4">
      <w:pPr>
        <w:spacing w:after="0"/>
        <w:ind w:left="142" w:firstLine="578"/>
        <w:jc w:val="both"/>
        <w:rPr>
          <w:rFonts w:ascii="Times New Roman" w:hAnsi="Times New Roman" w:cs="Times New Roman"/>
          <w:lang w:val="es-AR"/>
        </w:rPr>
      </w:pPr>
      <w:r w:rsidRPr="00331929">
        <w:rPr>
          <w:rFonts w:ascii="Times New Roman" w:hAnsi="Times New Roman" w:cs="Times New Roman"/>
          <w:lang w:val="es-AR"/>
        </w:rPr>
        <w:t>A partir de la fuerte devaluación de la moneda nacional del año 2002, se acrecentaron los proble</w:t>
      </w:r>
      <w:r w:rsidR="00EA6AB1">
        <w:rPr>
          <w:rFonts w:ascii="Times New Roman" w:hAnsi="Times New Roman" w:cs="Times New Roman"/>
          <w:lang w:val="es-AR"/>
        </w:rPr>
        <w:t>mas por la facilidad de acceso a nivel internacional de nuestros recursos productivos</w:t>
      </w:r>
      <w:r w:rsidR="00D277A4" w:rsidRPr="00331929">
        <w:rPr>
          <w:rFonts w:ascii="Times New Roman" w:hAnsi="Times New Roman" w:cs="Times New Roman"/>
          <w:lang w:val="es-AR"/>
        </w:rPr>
        <w:t xml:space="preserve"> </w:t>
      </w:r>
      <w:r w:rsidRPr="00331929">
        <w:rPr>
          <w:rFonts w:ascii="Times New Roman" w:hAnsi="Times New Roman" w:cs="Times New Roman"/>
          <w:lang w:val="es-AR"/>
        </w:rPr>
        <w:t>y el avance de la puesta en valor de nuevas tierras para diferentes usos, entre los que se de</w:t>
      </w:r>
      <w:r w:rsidR="00EA6AB1">
        <w:rPr>
          <w:rFonts w:ascii="Times New Roman" w:hAnsi="Times New Roman" w:cs="Times New Roman"/>
          <w:lang w:val="es-AR"/>
        </w:rPr>
        <w:t>staca</w:t>
      </w:r>
      <w:r w:rsidRPr="00331929">
        <w:rPr>
          <w:rFonts w:ascii="Times New Roman" w:hAnsi="Times New Roman" w:cs="Times New Roman"/>
          <w:lang w:val="es-AR"/>
        </w:rPr>
        <w:t xml:space="preserve"> la producción agropecuaria, la explotación minera y el auge del turismo asociado al amb</w:t>
      </w:r>
      <w:r w:rsidR="00EA6AB1">
        <w:rPr>
          <w:rFonts w:ascii="Times New Roman" w:hAnsi="Times New Roman" w:cs="Times New Roman"/>
          <w:lang w:val="es-AR"/>
        </w:rPr>
        <w:t xml:space="preserve">iente. También se profundizó un </w:t>
      </w:r>
      <w:r w:rsidRPr="00331929">
        <w:rPr>
          <w:rFonts w:ascii="Times New Roman" w:hAnsi="Times New Roman" w:cs="Times New Roman"/>
          <w:lang w:val="es-AR"/>
        </w:rPr>
        <w:t>proceso de “agriculturización” ligado a la expansión de la frontera agraria, donde el proceso denominado “sojización” resume completamente las dinámicas que acompañaron la recomposición de las formas de producción en el agro argentino, t</w:t>
      </w:r>
      <w:r w:rsidR="00D277A4" w:rsidRPr="00331929">
        <w:rPr>
          <w:rFonts w:ascii="Times New Roman" w:hAnsi="Times New Roman" w:cs="Times New Roman"/>
          <w:lang w:val="es-AR"/>
        </w:rPr>
        <w:t>anto en sus zonas centrales (</w:t>
      </w:r>
      <w:r w:rsidRPr="00331929">
        <w:rPr>
          <w:rFonts w:ascii="Times New Roman" w:hAnsi="Times New Roman" w:cs="Times New Roman"/>
          <w:lang w:val="es-AR"/>
        </w:rPr>
        <w:t>región pampeana), como en aquellas otras áreas consideradas marginales o</w:t>
      </w:r>
      <w:r w:rsidR="00BD33CD" w:rsidRPr="00331929">
        <w:rPr>
          <w:rFonts w:ascii="Times New Roman" w:hAnsi="Times New Roman" w:cs="Times New Roman"/>
          <w:lang w:val="es-AR"/>
        </w:rPr>
        <w:t xml:space="preserve"> periféricas hasta ese entonces</w:t>
      </w:r>
      <w:r w:rsidRPr="00331929">
        <w:rPr>
          <w:rFonts w:ascii="Times New Roman" w:hAnsi="Times New Roman" w:cs="Times New Roman"/>
          <w:lang w:val="es-AR"/>
        </w:rPr>
        <w:t xml:space="preserve"> (Gras y Bidaseca, 2011; Sili y Soumoulou,</w:t>
      </w:r>
      <w:r w:rsidR="00CF00D5" w:rsidRPr="00331929">
        <w:rPr>
          <w:rFonts w:ascii="Times New Roman" w:hAnsi="Times New Roman" w:cs="Times New Roman"/>
          <w:lang w:val="es-AR"/>
        </w:rPr>
        <w:t>2011)</w:t>
      </w:r>
      <w:r w:rsidR="00BD33CD" w:rsidRPr="00331929">
        <w:rPr>
          <w:rFonts w:ascii="Times New Roman" w:hAnsi="Times New Roman" w:cs="Times New Roman"/>
          <w:lang w:val="es-AR"/>
        </w:rPr>
        <w:t xml:space="preserve">. </w:t>
      </w:r>
      <w:r w:rsidRPr="00331929">
        <w:rPr>
          <w:rFonts w:ascii="Times New Roman" w:hAnsi="Times New Roman" w:cs="Times New Roman"/>
          <w:lang w:val="es-AR"/>
        </w:rPr>
        <w:t>Este fenómeno adquirió notoriedad en las provincias de Santiago del Estero, Salta, Tucumán, Chaco, Formosa, y norte de Santa Fe</w:t>
      </w:r>
      <w:r w:rsidR="00BD33CD" w:rsidRPr="00331929">
        <w:rPr>
          <w:rFonts w:ascii="Times New Roman" w:hAnsi="Times New Roman" w:cs="Times New Roman"/>
          <w:lang w:val="es-AR"/>
        </w:rPr>
        <w:t>.</w:t>
      </w:r>
      <w:r w:rsidRPr="00331929">
        <w:rPr>
          <w:rFonts w:ascii="Times New Roman" w:hAnsi="Times New Roman" w:cs="Times New Roman"/>
          <w:lang w:val="es-AR"/>
        </w:rPr>
        <w:t xml:space="preserve"> Varios autores </w:t>
      </w:r>
      <w:r w:rsidR="00BD33CD" w:rsidRPr="00331929">
        <w:rPr>
          <w:rFonts w:ascii="Times New Roman" w:hAnsi="Times New Roman" w:cs="Times New Roman"/>
          <w:lang w:val="es-AR"/>
        </w:rPr>
        <w:t>señalan</w:t>
      </w:r>
      <w:r w:rsidRPr="00331929">
        <w:rPr>
          <w:rFonts w:ascii="Times New Roman" w:hAnsi="Times New Roman" w:cs="Times New Roman"/>
          <w:lang w:val="es-AR"/>
        </w:rPr>
        <w:t xml:space="preserve"> además, que la expansión de la fr</w:t>
      </w:r>
      <w:r w:rsidR="00BD33CD" w:rsidRPr="00331929">
        <w:rPr>
          <w:rFonts w:ascii="Times New Roman" w:hAnsi="Times New Roman" w:cs="Times New Roman"/>
          <w:lang w:val="es-AR"/>
        </w:rPr>
        <w:t>ontera agrícola en este período</w:t>
      </w:r>
      <w:r w:rsidRPr="00331929">
        <w:rPr>
          <w:rFonts w:ascii="Times New Roman" w:hAnsi="Times New Roman" w:cs="Times New Roman"/>
          <w:lang w:val="es-AR"/>
        </w:rPr>
        <w:t xml:space="preserve"> fue un proceso dinámico, establecido básicamente por coyunturas de precios y por la disponibilidad de tierras aptas y baratas a nivel mundial (Sili y Soumoulou, 2011; Barbera, Colina et al</w:t>
      </w:r>
      <w:r w:rsidR="00BD33CD" w:rsidRPr="00331929">
        <w:rPr>
          <w:rFonts w:ascii="Times New Roman" w:hAnsi="Times New Roman" w:cs="Times New Roman"/>
          <w:lang w:val="es-AR"/>
        </w:rPr>
        <w:t>.</w:t>
      </w:r>
      <w:r w:rsidRPr="00331929">
        <w:rPr>
          <w:rFonts w:ascii="Times New Roman" w:hAnsi="Times New Roman" w:cs="Times New Roman"/>
          <w:lang w:val="es-AR"/>
        </w:rPr>
        <w:t>, 2012). De esta manera, en los últimos años se produjo una reducción de la superficie destinada a la ganadería en las zonas “n</w:t>
      </w:r>
      <w:r w:rsidR="00AC0523">
        <w:rPr>
          <w:rFonts w:ascii="Times New Roman" w:hAnsi="Times New Roman" w:cs="Times New Roman"/>
          <w:lang w:val="es-AR"/>
        </w:rPr>
        <w:t>ú</w:t>
      </w:r>
      <w:r w:rsidRPr="00331929">
        <w:rPr>
          <w:rFonts w:ascii="Times New Roman" w:hAnsi="Times New Roman" w:cs="Times New Roman"/>
          <w:lang w:val="es-AR"/>
        </w:rPr>
        <w:t>cleo” de la actividad agropecuaria argentina</w:t>
      </w:r>
      <w:r w:rsidR="00EA6AB1">
        <w:rPr>
          <w:rFonts w:ascii="Times New Roman" w:hAnsi="Times New Roman" w:cs="Times New Roman"/>
          <w:lang w:val="es-AR"/>
        </w:rPr>
        <w:t>, desplazándose esta actividad hacia</w:t>
      </w:r>
      <w:r w:rsidRPr="00331929">
        <w:rPr>
          <w:rFonts w:ascii="Times New Roman" w:hAnsi="Times New Roman" w:cs="Times New Roman"/>
          <w:lang w:val="es-AR"/>
        </w:rPr>
        <w:t xml:space="preserve"> zonas marginales.</w:t>
      </w:r>
    </w:p>
    <w:p w14:paraId="7DCC3AD7" w14:textId="45ADC6FF" w:rsidR="00BD33CD" w:rsidRPr="00331929" w:rsidRDefault="006E2F4E" w:rsidP="00AC03A4">
      <w:pPr>
        <w:ind w:left="142" w:firstLine="578"/>
        <w:jc w:val="both"/>
        <w:rPr>
          <w:rFonts w:ascii="Times New Roman" w:hAnsi="Times New Roman" w:cs="Times New Roman"/>
          <w:lang w:val="es-AR"/>
        </w:rPr>
      </w:pPr>
      <w:r w:rsidRPr="00331929">
        <w:rPr>
          <w:rFonts w:ascii="Times New Roman" w:hAnsi="Times New Roman" w:cs="Times New Roman"/>
          <w:lang w:val="es-AR"/>
        </w:rPr>
        <w:t>En l</w:t>
      </w:r>
      <w:r w:rsidR="002E496D" w:rsidRPr="00331929">
        <w:rPr>
          <w:rFonts w:ascii="Times New Roman" w:hAnsi="Times New Roman" w:cs="Times New Roman"/>
          <w:lang w:val="es-AR"/>
        </w:rPr>
        <w:t xml:space="preserve">a provincia de Salta </w:t>
      </w:r>
      <w:r w:rsidR="00804902" w:rsidRPr="00331929">
        <w:rPr>
          <w:rFonts w:ascii="Times New Roman" w:hAnsi="Times New Roman" w:cs="Times New Roman"/>
          <w:lang w:val="es-AR"/>
        </w:rPr>
        <w:t xml:space="preserve">este </w:t>
      </w:r>
      <w:r w:rsidR="002E496D" w:rsidRPr="00331929">
        <w:rPr>
          <w:rFonts w:ascii="Times New Roman" w:hAnsi="Times New Roman" w:cs="Times New Roman"/>
          <w:lang w:val="es-AR"/>
        </w:rPr>
        <w:t>proceso se viene desarrollando desde hac</w:t>
      </w:r>
      <w:r w:rsidR="000012FF" w:rsidRPr="00331929">
        <w:rPr>
          <w:rFonts w:ascii="Times New Roman" w:hAnsi="Times New Roman" w:cs="Times New Roman"/>
          <w:lang w:val="es-AR"/>
        </w:rPr>
        <w:t>e más de 20 años</w:t>
      </w:r>
      <w:r w:rsidR="00BD33CD" w:rsidRPr="00331929">
        <w:rPr>
          <w:rFonts w:ascii="Times New Roman" w:hAnsi="Times New Roman" w:cs="Times New Roman"/>
          <w:lang w:val="es-AR"/>
        </w:rPr>
        <w:t xml:space="preserve"> </w:t>
      </w:r>
      <w:r w:rsidR="00CF00D5" w:rsidRPr="00331929">
        <w:rPr>
          <w:rFonts w:ascii="Times New Roman" w:hAnsi="Times New Roman" w:cs="Times New Roman"/>
          <w:lang w:val="es-AR"/>
        </w:rPr>
        <w:t>y se</w:t>
      </w:r>
      <w:r w:rsidR="0044705C" w:rsidRPr="00331929">
        <w:rPr>
          <w:rFonts w:ascii="Times New Roman" w:hAnsi="Times New Roman" w:cs="Times New Roman"/>
          <w:lang w:val="es-AR"/>
        </w:rPr>
        <w:t xml:space="preserve"> ve r</w:t>
      </w:r>
      <w:r w:rsidR="000012FF" w:rsidRPr="00331929">
        <w:rPr>
          <w:rFonts w:ascii="Times New Roman" w:hAnsi="Times New Roman" w:cs="Times New Roman"/>
          <w:lang w:val="es-AR"/>
        </w:rPr>
        <w:t xml:space="preserve">eflejado en los </w:t>
      </w:r>
      <w:r w:rsidR="002E1072" w:rsidRPr="00331929">
        <w:rPr>
          <w:rFonts w:ascii="Times New Roman" w:hAnsi="Times New Roman" w:cs="Times New Roman"/>
          <w:lang w:val="es-AR"/>
        </w:rPr>
        <w:t>cambios en el uso del suelo</w:t>
      </w:r>
      <w:r w:rsidR="00CF00D5" w:rsidRPr="00331929">
        <w:rPr>
          <w:rFonts w:ascii="Times New Roman" w:hAnsi="Times New Roman" w:cs="Times New Roman"/>
          <w:lang w:val="es-AR"/>
        </w:rPr>
        <w:t>,</w:t>
      </w:r>
      <w:r w:rsidR="0044705C" w:rsidRPr="00331929">
        <w:rPr>
          <w:rFonts w:ascii="Times New Roman" w:hAnsi="Times New Roman" w:cs="Times New Roman"/>
          <w:lang w:val="es-AR"/>
        </w:rPr>
        <w:t xml:space="preserve"> </w:t>
      </w:r>
      <w:r w:rsidR="00804902" w:rsidRPr="00331929">
        <w:rPr>
          <w:rFonts w:ascii="Times New Roman" w:hAnsi="Times New Roman" w:cs="Times New Roman"/>
          <w:lang w:val="es-AR"/>
        </w:rPr>
        <w:t>con el desarrollo</w:t>
      </w:r>
      <w:r w:rsidR="000D577E" w:rsidRPr="00331929">
        <w:rPr>
          <w:rFonts w:ascii="Times New Roman" w:hAnsi="Times New Roman" w:cs="Times New Roman"/>
          <w:lang w:val="es-AR"/>
        </w:rPr>
        <w:t xml:space="preserve"> de la </w:t>
      </w:r>
      <w:r w:rsidR="006803AD">
        <w:rPr>
          <w:rFonts w:ascii="Times New Roman" w:hAnsi="Times New Roman" w:cs="Times New Roman"/>
          <w:lang w:val="es-AR"/>
        </w:rPr>
        <w:t>“</w:t>
      </w:r>
      <w:r w:rsidR="000D577E" w:rsidRPr="00331929">
        <w:rPr>
          <w:rFonts w:ascii="Times New Roman" w:hAnsi="Times New Roman" w:cs="Times New Roman"/>
          <w:lang w:val="es-AR"/>
        </w:rPr>
        <w:t>agriculturización</w:t>
      </w:r>
      <w:r w:rsidR="006803AD">
        <w:rPr>
          <w:rFonts w:ascii="Times New Roman" w:hAnsi="Times New Roman" w:cs="Times New Roman"/>
          <w:lang w:val="es-AR"/>
        </w:rPr>
        <w:t>”</w:t>
      </w:r>
      <w:r w:rsidR="000D577E" w:rsidRPr="00331929">
        <w:rPr>
          <w:rFonts w:ascii="Times New Roman" w:hAnsi="Times New Roman" w:cs="Times New Roman"/>
          <w:lang w:val="es-AR"/>
        </w:rPr>
        <w:t xml:space="preserve"> a </w:t>
      </w:r>
      <w:r w:rsidR="00306F82" w:rsidRPr="00331929">
        <w:rPr>
          <w:rFonts w:ascii="Times New Roman" w:hAnsi="Times New Roman" w:cs="Times New Roman"/>
          <w:lang w:val="es-AR"/>
        </w:rPr>
        <w:t>través del</w:t>
      </w:r>
      <w:r w:rsidR="00804902" w:rsidRPr="00331929">
        <w:rPr>
          <w:rFonts w:ascii="Times New Roman" w:hAnsi="Times New Roman" w:cs="Times New Roman"/>
          <w:lang w:val="es-AR"/>
        </w:rPr>
        <w:t xml:space="preserve"> cultivo de soja en el área del Umbral al Chaco</w:t>
      </w:r>
      <w:r w:rsidR="00804902" w:rsidRPr="00331929">
        <w:rPr>
          <w:rStyle w:val="Refdenotaalpie"/>
          <w:rFonts w:ascii="Times New Roman" w:hAnsi="Times New Roman" w:cs="Times New Roman"/>
          <w:lang w:val="es-AR"/>
        </w:rPr>
        <w:footnoteReference w:id="6"/>
      </w:r>
      <w:r w:rsidR="000D577E" w:rsidRPr="00331929">
        <w:rPr>
          <w:rFonts w:ascii="Times New Roman" w:hAnsi="Times New Roman" w:cs="Times New Roman"/>
          <w:lang w:val="es-AR"/>
        </w:rPr>
        <w:t>, y un proceso para</w:t>
      </w:r>
      <w:r w:rsidR="00BD33CD" w:rsidRPr="00331929">
        <w:rPr>
          <w:rFonts w:ascii="Times New Roman" w:hAnsi="Times New Roman" w:cs="Times New Roman"/>
          <w:lang w:val="es-AR"/>
        </w:rPr>
        <w:t xml:space="preserve">lelo llamado “ganaderización” </w:t>
      </w:r>
      <w:r w:rsidR="00D277A4" w:rsidRPr="00331929">
        <w:rPr>
          <w:rFonts w:ascii="Times New Roman" w:hAnsi="Times New Roman" w:cs="Times New Roman"/>
          <w:lang w:val="es-AR"/>
        </w:rPr>
        <w:t xml:space="preserve">en el Chaco semiárido. </w:t>
      </w:r>
      <w:r w:rsidR="00BD33CD" w:rsidRPr="00331929">
        <w:rPr>
          <w:rFonts w:ascii="Times New Roman" w:hAnsi="Times New Roman" w:cs="Times New Roman"/>
          <w:lang w:val="es-AR"/>
        </w:rPr>
        <w:t>Morello et al.</w:t>
      </w:r>
      <w:r w:rsidR="00D277A4" w:rsidRPr="00331929">
        <w:rPr>
          <w:rFonts w:ascii="Times New Roman" w:hAnsi="Times New Roman" w:cs="Times New Roman"/>
          <w:lang w:val="es-AR"/>
        </w:rPr>
        <w:t xml:space="preserve"> (</w:t>
      </w:r>
      <w:r w:rsidR="00BD33CD" w:rsidRPr="00331929">
        <w:rPr>
          <w:rFonts w:ascii="Times New Roman" w:hAnsi="Times New Roman" w:cs="Times New Roman"/>
          <w:lang w:val="es-AR"/>
        </w:rPr>
        <w:t>2005)</w:t>
      </w:r>
      <w:r w:rsidR="00D277A4" w:rsidRPr="00331929">
        <w:rPr>
          <w:rFonts w:ascii="Times New Roman" w:hAnsi="Times New Roman" w:cs="Times New Roman"/>
          <w:lang w:val="es-AR"/>
        </w:rPr>
        <w:t>, caracterizan a este proceso de la siguiente manera:</w:t>
      </w:r>
    </w:p>
    <w:p w14:paraId="1EFA37A7" w14:textId="77777777" w:rsidR="00BD33CD" w:rsidRPr="00331929" w:rsidRDefault="00BD33CD" w:rsidP="00AC03A4">
      <w:pPr>
        <w:ind w:left="567" w:right="567"/>
        <w:jc w:val="both"/>
        <w:rPr>
          <w:rFonts w:ascii="Times New Roman" w:hAnsi="Times New Roman" w:cs="Times New Roman"/>
          <w:sz w:val="20"/>
          <w:szCs w:val="20"/>
          <w:lang w:val="es-AR"/>
        </w:rPr>
      </w:pPr>
      <w:r w:rsidRPr="00331929">
        <w:rPr>
          <w:rFonts w:ascii="Times New Roman" w:hAnsi="Times New Roman" w:cs="Times New Roman"/>
          <w:sz w:val="20"/>
          <w:szCs w:val="20"/>
          <w:lang w:val="es-AR"/>
        </w:rPr>
        <w:t xml:space="preserve">(…) desplazamiento de la ganadería </w:t>
      </w:r>
      <w:r w:rsidR="00804902" w:rsidRPr="00331929">
        <w:rPr>
          <w:rFonts w:ascii="Times New Roman" w:hAnsi="Times New Roman" w:cs="Times New Roman"/>
          <w:sz w:val="20"/>
          <w:szCs w:val="20"/>
          <w:lang w:val="es-AR"/>
        </w:rPr>
        <w:t>hacia la región chaqueña</w:t>
      </w:r>
      <w:r w:rsidR="000D577E" w:rsidRPr="00331929">
        <w:rPr>
          <w:rFonts w:ascii="Times New Roman" w:hAnsi="Times New Roman" w:cs="Times New Roman"/>
          <w:sz w:val="20"/>
          <w:szCs w:val="20"/>
          <w:lang w:val="es-AR"/>
        </w:rPr>
        <w:t xml:space="preserve"> bajo un régimen h</w:t>
      </w:r>
      <w:r w:rsidR="00533387" w:rsidRPr="00331929">
        <w:rPr>
          <w:rFonts w:ascii="Times New Roman" w:hAnsi="Times New Roman" w:cs="Times New Roman"/>
          <w:sz w:val="20"/>
          <w:szCs w:val="20"/>
          <w:lang w:val="es-AR"/>
        </w:rPr>
        <w:t>ídrico promedio de 500 a</w:t>
      </w:r>
      <w:r w:rsidRPr="00331929">
        <w:rPr>
          <w:rFonts w:ascii="Times New Roman" w:hAnsi="Times New Roman" w:cs="Times New Roman"/>
          <w:sz w:val="20"/>
          <w:szCs w:val="20"/>
          <w:lang w:val="es-AR"/>
        </w:rPr>
        <w:t xml:space="preserve"> 550 mm,</w:t>
      </w:r>
      <w:r w:rsidR="00533387" w:rsidRPr="00331929">
        <w:rPr>
          <w:rFonts w:ascii="Times New Roman" w:hAnsi="Times New Roman" w:cs="Times New Roman"/>
          <w:sz w:val="20"/>
          <w:szCs w:val="20"/>
          <w:lang w:val="es-AR"/>
        </w:rPr>
        <w:t xml:space="preserve"> a partir de la instalación en grandes superficies de empresas capitalistas que aplican tecnologías basadas en el desmonte del bosque chaqueño y la introducción de pasturas tropicales, situación que pone en riesgo la sustentabilidad de la producc</w:t>
      </w:r>
      <w:r w:rsidRPr="00331929">
        <w:rPr>
          <w:rFonts w:ascii="Times New Roman" w:hAnsi="Times New Roman" w:cs="Times New Roman"/>
          <w:sz w:val="20"/>
          <w:szCs w:val="20"/>
          <w:lang w:val="es-AR"/>
        </w:rPr>
        <w:t xml:space="preserve">ión </w:t>
      </w:r>
      <w:r w:rsidR="00533387" w:rsidRPr="00331929">
        <w:rPr>
          <w:rFonts w:ascii="Times New Roman" w:hAnsi="Times New Roman" w:cs="Times New Roman"/>
          <w:sz w:val="20"/>
          <w:szCs w:val="20"/>
          <w:lang w:val="es-AR"/>
        </w:rPr>
        <w:t>y el nivel de provisión de servicios ecosi</w:t>
      </w:r>
      <w:r w:rsidR="00AD778A" w:rsidRPr="00331929">
        <w:rPr>
          <w:rFonts w:ascii="Times New Roman" w:hAnsi="Times New Roman" w:cs="Times New Roman"/>
          <w:sz w:val="20"/>
          <w:szCs w:val="20"/>
          <w:lang w:val="es-AR"/>
        </w:rPr>
        <w:t>s</w:t>
      </w:r>
      <w:r w:rsidR="00533387" w:rsidRPr="00331929">
        <w:rPr>
          <w:rFonts w:ascii="Times New Roman" w:hAnsi="Times New Roman" w:cs="Times New Roman"/>
          <w:sz w:val="20"/>
          <w:szCs w:val="20"/>
          <w:lang w:val="es-AR"/>
        </w:rPr>
        <w:t>témicos intermedios como</w:t>
      </w:r>
      <w:r w:rsidR="00AD778A" w:rsidRPr="00331929">
        <w:rPr>
          <w:rFonts w:ascii="Times New Roman" w:hAnsi="Times New Roman" w:cs="Times New Roman"/>
          <w:sz w:val="20"/>
          <w:szCs w:val="20"/>
          <w:lang w:val="es-AR"/>
        </w:rPr>
        <w:t xml:space="preserve"> </w:t>
      </w:r>
      <w:r w:rsidR="00533387" w:rsidRPr="00331929">
        <w:rPr>
          <w:rFonts w:ascii="Times New Roman" w:hAnsi="Times New Roman" w:cs="Times New Roman"/>
          <w:sz w:val="20"/>
          <w:szCs w:val="20"/>
          <w:lang w:val="es-AR"/>
        </w:rPr>
        <w:t>la diversid</w:t>
      </w:r>
      <w:r w:rsidR="00AD778A" w:rsidRPr="00331929">
        <w:rPr>
          <w:rFonts w:ascii="Times New Roman" w:hAnsi="Times New Roman" w:cs="Times New Roman"/>
          <w:sz w:val="20"/>
          <w:szCs w:val="20"/>
          <w:lang w:val="es-AR"/>
        </w:rPr>
        <w:t>ad de especies, la regulación hí</w:t>
      </w:r>
      <w:r w:rsidR="00D277A4" w:rsidRPr="00331929">
        <w:rPr>
          <w:rFonts w:ascii="Times New Roman" w:hAnsi="Times New Roman" w:cs="Times New Roman"/>
          <w:sz w:val="20"/>
          <w:szCs w:val="20"/>
          <w:lang w:val="es-AR"/>
        </w:rPr>
        <w:t>drica y la captura de carbono (</w:t>
      </w:r>
      <w:r w:rsidR="00533387" w:rsidRPr="00331929">
        <w:rPr>
          <w:rFonts w:ascii="Times New Roman" w:hAnsi="Times New Roman" w:cs="Times New Roman"/>
          <w:sz w:val="20"/>
          <w:szCs w:val="20"/>
          <w:lang w:val="es-AR"/>
        </w:rPr>
        <w:t>Volante, 2014: 100, Cfr</w:t>
      </w:r>
      <w:r w:rsidRPr="00331929">
        <w:rPr>
          <w:rFonts w:ascii="Times New Roman" w:hAnsi="Times New Roman" w:cs="Times New Roman"/>
          <w:sz w:val="20"/>
          <w:szCs w:val="20"/>
          <w:lang w:val="es-AR"/>
        </w:rPr>
        <w:t>.</w:t>
      </w:r>
      <w:r w:rsidR="00533387" w:rsidRPr="00331929">
        <w:rPr>
          <w:rFonts w:ascii="Times New Roman" w:hAnsi="Times New Roman" w:cs="Times New Roman"/>
          <w:sz w:val="20"/>
          <w:szCs w:val="20"/>
          <w:lang w:val="es-AR"/>
        </w:rPr>
        <w:t xml:space="preserve"> Camardelli, et al, 2019:139)</w:t>
      </w:r>
      <w:r w:rsidRPr="00331929">
        <w:rPr>
          <w:rFonts w:ascii="Times New Roman" w:hAnsi="Times New Roman" w:cs="Times New Roman"/>
          <w:sz w:val="20"/>
          <w:szCs w:val="20"/>
          <w:lang w:val="es-AR"/>
        </w:rPr>
        <w:t>.</w:t>
      </w:r>
    </w:p>
    <w:p w14:paraId="0035CABA" w14:textId="50EBCD7F" w:rsidR="00AD778A" w:rsidRPr="00331929" w:rsidRDefault="00C16F66" w:rsidP="00AC03A4">
      <w:pPr>
        <w:spacing w:after="0"/>
        <w:ind w:left="142" w:firstLine="578"/>
        <w:jc w:val="both"/>
        <w:rPr>
          <w:rFonts w:ascii="Times New Roman" w:hAnsi="Times New Roman" w:cs="Times New Roman"/>
          <w:lang w:val="es-AR"/>
        </w:rPr>
      </w:pPr>
      <w:r w:rsidRPr="00331929">
        <w:rPr>
          <w:rFonts w:ascii="Times New Roman" w:hAnsi="Times New Roman" w:cs="Times New Roman"/>
          <w:lang w:val="es-AR"/>
        </w:rPr>
        <w:t xml:space="preserve">Este proceso </w:t>
      </w:r>
      <w:r w:rsidR="00D277A4" w:rsidRPr="00331929">
        <w:rPr>
          <w:rFonts w:ascii="Times New Roman" w:hAnsi="Times New Roman" w:cs="Times New Roman"/>
          <w:lang w:val="es-AR"/>
        </w:rPr>
        <w:t>desplaza</w:t>
      </w:r>
      <w:r w:rsidR="00AD778A" w:rsidRPr="00331929">
        <w:rPr>
          <w:rFonts w:ascii="Times New Roman" w:hAnsi="Times New Roman" w:cs="Times New Roman"/>
          <w:lang w:val="es-AR"/>
        </w:rPr>
        <w:t xml:space="preserve"> a los habitantes tradicionales, los “puest</w:t>
      </w:r>
      <w:r w:rsidR="00BD33CD" w:rsidRPr="00331929">
        <w:rPr>
          <w:rFonts w:ascii="Times New Roman" w:hAnsi="Times New Roman" w:cs="Times New Roman"/>
          <w:lang w:val="es-AR"/>
        </w:rPr>
        <w:t>eros criollos” que crían su ganado “</w:t>
      </w:r>
      <w:r w:rsidR="00AD778A" w:rsidRPr="00331929">
        <w:rPr>
          <w:rFonts w:ascii="Times New Roman" w:hAnsi="Times New Roman" w:cs="Times New Roman"/>
          <w:lang w:val="es-AR"/>
        </w:rPr>
        <w:t>a monte” y a las comunidades originarias, las que</w:t>
      </w:r>
      <w:r w:rsidR="00035E91" w:rsidRPr="00331929">
        <w:rPr>
          <w:rFonts w:ascii="Times New Roman" w:hAnsi="Times New Roman" w:cs="Times New Roman"/>
          <w:lang w:val="es-AR"/>
        </w:rPr>
        <w:t xml:space="preserve"> son</w:t>
      </w:r>
      <w:r w:rsidR="003E249B" w:rsidRPr="00331929">
        <w:rPr>
          <w:rFonts w:ascii="Times New Roman" w:hAnsi="Times New Roman" w:cs="Times New Roman"/>
          <w:lang w:val="es-AR"/>
        </w:rPr>
        <w:t xml:space="preserve"> despojadas de sus territorios y arrinconadas</w:t>
      </w:r>
      <w:r w:rsidR="00AD778A" w:rsidRPr="00331929">
        <w:rPr>
          <w:rFonts w:ascii="Times New Roman" w:hAnsi="Times New Roman" w:cs="Times New Roman"/>
          <w:lang w:val="es-AR"/>
        </w:rPr>
        <w:t xml:space="preserve"> </w:t>
      </w:r>
      <w:r w:rsidR="003E249B" w:rsidRPr="00331929">
        <w:rPr>
          <w:rFonts w:ascii="Times New Roman" w:hAnsi="Times New Roman" w:cs="Times New Roman"/>
          <w:lang w:val="es-AR"/>
        </w:rPr>
        <w:t xml:space="preserve">en </w:t>
      </w:r>
      <w:r w:rsidR="00AD778A" w:rsidRPr="00331929">
        <w:rPr>
          <w:rFonts w:ascii="Times New Roman" w:hAnsi="Times New Roman" w:cs="Times New Roman"/>
          <w:lang w:val="es-AR"/>
        </w:rPr>
        <w:t>la periferia de pueblos y ciudades,</w:t>
      </w:r>
      <w:r w:rsidR="003E249B" w:rsidRPr="00331929">
        <w:rPr>
          <w:rFonts w:ascii="Times New Roman" w:hAnsi="Times New Roman" w:cs="Times New Roman"/>
          <w:lang w:val="es-AR"/>
        </w:rPr>
        <w:t xml:space="preserve"> alterando sus prácticas tradicionales de reproducción </w:t>
      </w:r>
      <w:r w:rsidR="00E37D11" w:rsidRPr="00331929">
        <w:rPr>
          <w:rFonts w:ascii="Times New Roman" w:hAnsi="Times New Roman" w:cs="Times New Roman"/>
          <w:lang w:val="es-AR"/>
        </w:rPr>
        <w:t>socioeconómica</w:t>
      </w:r>
      <w:r w:rsidR="003E249B" w:rsidRPr="00331929">
        <w:rPr>
          <w:rFonts w:ascii="Times New Roman" w:hAnsi="Times New Roman" w:cs="Times New Roman"/>
          <w:lang w:val="es-AR"/>
        </w:rPr>
        <w:t>.</w:t>
      </w:r>
    </w:p>
    <w:p w14:paraId="2AAEF8DE" w14:textId="0F325E54" w:rsidR="000D577E" w:rsidRPr="00331929" w:rsidRDefault="00035E91" w:rsidP="00AC03A4">
      <w:pPr>
        <w:ind w:left="142" w:firstLine="578"/>
        <w:jc w:val="both"/>
        <w:rPr>
          <w:rFonts w:ascii="Times New Roman" w:hAnsi="Times New Roman" w:cs="Times New Roman"/>
          <w:lang w:val="es-AR"/>
        </w:rPr>
      </w:pPr>
      <w:r w:rsidRPr="00331929">
        <w:rPr>
          <w:rFonts w:ascii="Times New Roman" w:hAnsi="Times New Roman" w:cs="Times New Roman"/>
          <w:lang w:val="es-AR"/>
        </w:rPr>
        <w:lastRenderedPageBreak/>
        <w:t>Como se o</w:t>
      </w:r>
      <w:r w:rsidR="0044705C" w:rsidRPr="00331929">
        <w:rPr>
          <w:rFonts w:ascii="Times New Roman" w:hAnsi="Times New Roman" w:cs="Times New Roman"/>
          <w:lang w:val="es-AR"/>
        </w:rPr>
        <w:t>bserv</w:t>
      </w:r>
      <w:r w:rsidR="00EA6AB1">
        <w:rPr>
          <w:rFonts w:ascii="Times New Roman" w:hAnsi="Times New Roman" w:cs="Times New Roman"/>
          <w:lang w:val="es-AR"/>
        </w:rPr>
        <w:t>ó en el C</w:t>
      </w:r>
      <w:r w:rsidRPr="00331929">
        <w:rPr>
          <w:rFonts w:ascii="Times New Roman" w:hAnsi="Times New Roman" w:cs="Times New Roman"/>
          <w:lang w:val="es-AR"/>
        </w:rPr>
        <w:t>uadro N°</w:t>
      </w:r>
      <w:r w:rsidR="0044705C" w:rsidRPr="00331929">
        <w:rPr>
          <w:rFonts w:ascii="Times New Roman" w:hAnsi="Times New Roman" w:cs="Times New Roman"/>
          <w:lang w:val="es-AR"/>
        </w:rPr>
        <w:t>1,</w:t>
      </w:r>
      <w:r w:rsidR="00015F8E" w:rsidRPr="00331929">
        <w:rPr>
          <w:rFonts w:ascii="Times New Roman" w:hAnsi="Times New Roman" w:cs="Times New Roman"/>
          <w:lang w:val="es-AR"/>
        </w:rPr>
        <w:t xml:space="preserve"> </w:t>
      </w:r>
      <w:r w:rsidR="00673CB3" w:rsidRPr="00331929">
        <w:rPr>
          <w:rFonts w:ascii="Times New Roman" w:hAnsi="Times New Roman" w:cs="Times New Roman"/>
          <w:lang w:val="es-AR"/>
        </w:rPr>
        <w:t>la</w:t>
      </w:r>
      <w:r w:rsidR="004D541F" w:rsidRPr="00331929">
        <w:rPr>
          <w:rFonts w:ascii="Times New Roman" w:hAnsi="Times New Roman" w:cs="Times New Roman"/>
          <w:lang w:val="es-AR"/>
        </w:rPr>
        <w:t xml:space="preserve"> superficie agropecuaria </w:t>
      </w:r>
      <w:r w:rsidRPr="00331929">
        <w:rPr>
          <w:rFonts w:ascii="Times New Roman" w:hAnsi="Times New Roman" w:cs="Times New Roman"/>
          <w:lang w:val="es-AR"/>
        </w:rPr>
        <w:t xml:space="preserve">total </w:t>
      </w:r>
      <w:r w:rsidR="004D541F" w:rsidRPr="00331929">
        <w:rPr>
          <w:rFonts w:ascii="Times New Roman" w:hAnsi="Times New Roman" w:cs="Times New Roman"/>
          <w:lang w:val="es-AR"/>
        </w:rPr>
        <w:t xml:space="preserve">se </w:t>
      </w:r>
      <w:r w:rsidR="002E1072" w:rsidRPr="00331929">
        <w:rPr>
          <w:rFonts w:ascii="Times New Roman" w:hAnsi="Times New Roman" w:cs="Times New Roman"/>
          <w:lang w:val="es-AR"/>
        </w:rPr>
        <w:t>incrementó un</w:t>
      </w:r>
      <w:r w:rsidR="009415F5" w:rsidRPr="00331929">
        <w:rPr>
          <w:rFonts w:ascii="Times New Roman" w:hAnsi="Times New Roman" w:cs="Times New Roman"/>
          <w:lang w:val="es-AR"/>
        </w:rPr>
        <w:t xml:space="preserve"> 4,70%</w:t>
      </w:r>
      <w:r w:rsidR="00996816">
        <w:rPr>
          <w:rFonts w:ascii="Times New Roman" w:hAnsi="Times New Roman" w:cs="Times New Roman"/>
          <w:lang w:val="es-AR"/>
        </w:rPr>
        <w:t>,</w:t>
      </w:r>
      <w:r w:rsidR="009415F5" w:rsidRPr="00331929">
        <w:rPr>
          <w:rFonts w:ascii="Times New Roman" w:hAnsi="Times New Roman" w:cs="Times New Roman"/>
          <w:lang w:val="es-AR"/>
        </w:rPr>
        <w:t xml:space="preserve"> </w:t>
      </w:r>
      <w:r w:rsidR="004D541F" w:rsidRPr="00331929">
        <w:rPr>
          <w:rFonts w:ascii="Times New Roman" w:hAnsi="Times New Roman" w:cs="Times New Roman"/>
          <w:lang w:val="es-AR"/>
        </w:rPr>
        <w:t xml:space="preserve">pero si de ésta se considera sólo la superficie implantada, claramente se </w:t>
      </w:r>
      <w:r w:rsidRPr="00331929">
        <w:rPr>
          <w:rFonts w:ascii="Times New Roman" w:hAnsi="Times New Roman" w:cs="Times New Roman"/>
          <w:lang w:val="es-AR"/>
        </w:rPr>
        <w:t xml:space="preserve">puede deducir que se </w:t>
      </w:r>
      <w:r w:rsidR="004D541F" w:rsidRPr="00331929">
        <w:rPr>
          <w:rFonts w:ascii="Times New Roman" w:hAnsi="Times New Roman" w:cs="Times New Roman"/>
          <w:lang w:val="es-AR"/>
        </w:rPr>
        <w:t xml:space="preserve">está ante un avance significativo de la actividad </w:t>
      </w:r>
      <w:r w:rsidRPr="00331929">
        <w:rPr>
          <w:rFonts w:ascii="Times New Roman" w:hAnsi="Times New Roman" w:cs="Times New Roman"/>
          <w:lang w:val="es-AR"/>
        </w:rPr>
        <w:t>agrícola. E</w:t>
      </w:r>
      <w:r w:rsidR="009415F5" w:rsidRPr="00331929">
        <w:rPr>
          <w:rFonts w:ascii="Times New Roman" w:hAnsi="Times New Roman" w:cs="Times New Roman"/>
          <w:lang w:val="es-AR"/>
        </w:rPr>
        <w:t xml:space="preserve">fectivamente, entre 2002 </w:t>
      </w:r>
      <w:r w:rsidR="004D541F" w:rsidRPr="00331929">
        <w:rPr>
          <w:rFonts w:ascii="Times New Roman" w:hAnsi="Times New Roman" w:cs="Times New Roman"/>
          <w:lang w:val="es-AR"/>
        </w:rPr>
        <w:t xml:space="preserve">y </w:t>
      </w:r>
      <w:r w:rsidR="00673CB3" w:rsidRPr="00331929">
        <w:rPr>
          <w:rFonts w:ascii="Times New Roman" w:hAnsi="Times New Roman" w:cs="Times New Roman"/>
          <w:lang w:val="es-AR"/>
        </w:rPr>
        <w:t>2018 la</w:t>
      </w:r>
      <w:r w:rsidR="00D277A4" w:rsidRPr="00331929">
        <w:rPr>
          <w:rFonts w:ascii="Times New Roman" w:hAnsi="Times New Roman" w:cs="Times New Roman"/>
          <w:lang w:val="es-AR"/>
        </w:rPr>
        <w:t xml:space="preserve"> superficie implantada se incrementó</w:t>
      </w:r>
      <w:r w:rsidR="004D541F" w:rsidRPr="00331929">
        <w:rPr>
          <w:rFonts w:ascii="Times New Roman" w:hAnsi="Times New Roman" w:cs="Times New Roman"/>
          <w:lang w:val="es-AR"/>
        </w:rPr>
        <w:t xml:space="preserve"> en un </w:t>
      </w:r>
      <w:r w:rsidR="009415F5" w:rsidRPr="00331929">
        <w:rPr>
          <w:rFonts w:ascii="Times New Roman" w:hAnsi="Times New Roman" w:cs="Times New Roman"/>
          <w:lang w:val="es-AR"/>
        </w:rPr>
        <w:t xml:space="preserve">35,84%, </w:t>
      </w:r>
      <w:r w:rsidRPr="00331929">
        <w:rPr>
          <w:rFonts w:ascii="Times New Roman" w:hAnsi="Times New Roman" w:cs="Times New Roman"/>
          <w:lang w:val="es-AR"/>
        </w:rPr>
        <w:t xml:space="preserve">lo </w:t>
      </w:r>
      <w:r w:rsidR="009415F5" w:rsidRPr="00331929">
        <w:rPr>
          <w:rFonts w:ascii="Times New Roman" w:hAnsi="Times New Roman" w:cs="Times New Roman"/>
          <w:lang w:val="es-AR"/>
        </w:rPr>
        <w:t xml:space="preserve">que </w:t>
      </w:r>
      <w:r w:rsidR="004D541F" w:rsidRPr="00331929">
        <w:rPr>
          <w:rFonts w:ascii="Times New Roman" w:hAnsi="Times New Roman" w:cs="Times New Roman"/>
          <w:lang w:val="es-AR"/>
        </w:rPr>
        <w:t xml:space="preserve">equivale a </w:t>
      </w:r>
      <w:r w:rsidRPr="00331929">
        <w:rPr>
          <w:rFonts w:ascii="Times New Roman" w:hAnsi="Times New Roman" w:cs="Times New Roman"/>
          <w:lang w:val="es-AR"/>
        </w:rPr>
        <w:t>408.284,</w:t>
      </w:r>
      <w:r w:rsidR="009415F5" w:rsidRPr="00331929">
        <w:rPr>
          <w:rFonts w:ascii="Times New Roman" w:hAnsi="Times New Roman" w:cs="Times New Roman"/>
          <w:lang w:val="es-AR"/>
        </w:rPr>
        <w:t>5</w:t>
      </w:r>
      <w:r w:rsidR="00D277A4" w:rsidRPr="00331929">
        <w:rPr>
          <w:rFonts w:ascii="Times New Roman" w:hAnsi="Times New Roman" w:cs="Times New Roman"/>
          <w:lang w:val="es-AR"/>
        </w:rPr>
        <w:t>0</w:t>
      </w:r>
      <w:r w:rsidR="009415F5" w:rsidRPr="00331929">
        <w:rPr>
          <w:rFonts w:ascii="Times New Roman" w:hAnsi="Times New Roman" w:cs="Times New Roman"/>
          <w:lang w:val="es-AR"/>
        </w:rPr>
        <w:t xml:space="preserve"> </w:t>
      </w:r>
      <w:r w:rsidR="00E32357">
        <w:rPr>
          <w:rFonts w:ascii="Times New Roman" w:hAnsi="Times New Roman" w:cs="Times New Roman"/>
          <w:lang w:val="es-AR"/>
        </w:rPr>
        <w:t>h</w:t>
      </w:r>
      <w:r w:rsidRPr="00331929">
        <w:rPr>
          <w:rFonts w:ascii="Times New Roman" w:hAnsi="Times New Roman" w:cs="Times New Roman"/>
          <w:lang w:val="es-AR"/>
        </w:rPr>
        <w:t>as.</w:t>
      </w:r>
      <w:r w:rsidR="002E1072" w:rsidRPr="00331929">
        <w:rPr>
          <w:rFonts w:ascii="Times New Roman" w:hAnsi="Times New Roman" w:cs="Times New Roman"/>
          <w:lang w:val="es-AR"/>
        </w:rPr>
        <w:t xml:space="preserve"> Cabe agregar que</w:t>
      </w:r>
      <w:r w:rsidR="00E37D11">
        <w:rPr>
          <w:rFonts w:ascii="Times New Roman" w:hAnsi="Times New Roman" w:cs="Times New Roman"/>
          <w:lang w:val="es-AR"/>
        </w:rPr>
        <w:t xml:space="preserve"> </w:t>
      </w:r>
      <w:r w:rsidRPr="00331929">
        <w:rPr>
          <w:rFonts w:ascii="Times New Roman" w:hAnsi="Times New Roman" w:cs="Times New Roman"/>
          <w:lang w:val="es-AR"/>
        </w:rPr>
        <w:t xml:space="preserve">en </w:t>
      </w:r>
      <w:r w:rsidR="002E1072" w:rsidRPr="00331929">
        <w:rPr>
          <w:rFonts w:ascii="Times New Roman" w:hAnsi="Times New Roman" w:cs="Times New Roman"/>
          <w:lang w:val="es-AR"/>
        </w:rPr>
        <w:t>la medida que avan</w:t>
      </w:r>
      <w:r w:rsidRPr="00331929">
        <w:rPr>
          <w:rFonts w:ascii="Times New Roman" w:hAnsi="Times New Roman" w:cs="Times New Roman"/>
          <w:lang w:val="es-AR"/>
        </w:rPr>
        <w:t xml:space="preserve">zamos </w:t>
      </w:r>
      <w:r w:rsidR="002E1072" w:rsidRPr="00331929">
        <w:rPr>
          <w:rFonts w:ascii="Times New Roman" w:hAnsi="Times New Roman" w:cs="Times New Roman"/>
          <w:lang w:val="es-AR"/>
        </w:rPr>
        <w:t>en el análisis de</w:t>
      </w:r>
      <w:r w:rsidRPr="00331929">
        <w:rPr>
          <w:rFonts w:ascii="Times New Roman" w:hAnsi="Times New Roman" w:cs="Times New Roman"/>
          <w:lang w:val="es-AR"/>
        </w:rPr>
        <w:t xml:space="preserve"> otras fuentes</w:t>
      </w:r>
      <w:r w:rsidR="00996816">
        <w:rPr>
          <w:rFonts w:ascii="Times New Roman" w:hAnsi="Times New Roman" w:cs="Times New Roman"/>
          <w:lang w:val="es-AR"/>
        </w:rPr>
        <w:t xml:space="preserve"> de información</w:t>
      </w:r>
      <w:r w:rsidR="009966C2" w:rsidRPr="00331929">
        <w:rPr>
          <w:rFonts w:ascii="Times New Roman" w:hAnsi="Times New Roman" w:cs="Times New Roman"/>
          <w:lang w:val="es-AR"/>
        </w:rPr>
        <w:t>,</w:t>
      </w:r>
      <w:r w:rsidR="002E1072" w:rsidRPr="00331929">
        <w:rPr>
          <w:rFonts w:ascii="Times New Roman" w:hAnsi="Times New Roman" w:cs="Times New Roman"/>
          <w:lang w:val="es-AR"/>
        </w:rPr>
        <w:t xml:space="preserve"> </w:t>
      </w:r>
      <w:r w:rsidRPr="00331929">
        <w:rPr>
          <w:rFonts w:ascii="Times New Roman" w:hAnsi="Times New Roman" w:cs="Times New Roman"/>
          <w:lang w:val="es-AR"/>
        </w:rPr>
        <w:t xml:space="preserve">se puede constatar </w:t>
      </w:r>
      <w:r w:rsidR="002E1072" w:rsidRPr="00331929">
        <w:rPr>
          <w:rFonts w:ascii="Times New Roman" w:hAnsi="Times New Roman" w:cs="Times New Roman"/>
          <w:lang w:val="es-AR"/>
        </w:rPr>
        <w:t>que el incremen</w:t>
      </w:r>
      <w:r w:rsidRPr="00331929">
        <w:rPr>
          <w:rFonts w:ascii="Times New Roman" w:hAnsi="Times New Roman" w:cs="Times New Roman"/>
          <w:lang w:val="es-AR"/>
        </w:rPr>
        <w:t xml:space="preserve">to de la superficie agrícola </w:t>
      </w:r>
      <w:r w:rsidR="002E1072" w:rsidRPr="00331929">
        <w:rPr>
          <w:rFonts w:ascii="Times New Roman" w:hAnsi="Times New Roman" w:cs="Times New Roman"/>
          <w:lang w:val="es-AR"/>
        </w:rPr>
        <w:t xml:space="preserve">aún </w:t>
      </w:r>
      <w:r w:rsidRPr="00331929">
        <w:rPr>
          <w:rFonts w:ascii="Times New Roman" w:hAnsi="Times New Roman" w:cs="Times New Roman"/>
          <w:lang w:val="es-AR"/>
        </w:rPr>
        <w:t xml:space="preserve">fue </w:t>
      </w:r>
      <w:r w:rsidR="002E1072" w:rsidRPr="00331929">
        <w:rPr>
          <w:rFonts w:ascii="Times New Roman" w:hAnsi="Times New Roman" w:cs="Times New Roman"/>
          <w:lang w:val="es-AR"/>
        </w:rPr>
        <w:t>mayor</w:t>
      </w:r>
      <w:r w:rsidR="00E37D11">
        <w:rPr>
          <w:rFonts w:ascii="Times New Roman" w:hAnsi="Times New Roman" w:cs="Times New Roman"/>
          <w:lang w:val="es-AR"/>
        </w:rPr>
        <w:t>.</w:t>
      </w:r>
      <w:r w:rsidR="002E1072" w:rsidRPr="00331929">
        <w:rPr>
          <w:rFonts w:ascii="Times New Roman" w:hAnsi="Times New Roman" w:cs="Times New Roman"/>
          <w:lang w:val="es-AR"/>
        </w:rPr>
        <w:t xml:space="preserve"> </w:t>
      </w:r>
    </w:p>
    <w:p w14:paraId="158E3871" w14:textId="7CF01B98" w:rsidR="004477BC" w:rsidRPr="00331929" w:rsidRDefault="00EA6AB1" w:rsidP="006803AD">
      <w:pPr>
        <w:jc w:val="center"/>
        <w:rPr>
          <w:rFonts w:ascii="Times New Roman" w:hAnsi="Times New Roman" w:cs="Times New Roman"/>
          <w:b/>
          <w:lang w:val="es-AR"/>
        </w:rPr>
      </w:pPr>
      <w:r>
        <w:rPr>
          <w:rFonts w:ascii="Times New Roman" w:hAnsi="Times New Roman" w:cs="Times New Roman"/>
          <w:b/>
          <w:lang w:val="es-AR"/>
        </w:rPr>
        <w:t>Cuadro N°</w:t>
      </w:r>
      <w:r w:rsidR="00AC0523">
        <w:rPr>
          <w:rFonts w:ascii="Times New Roman" w:hAnsi="Times New Roman" w:cs="Times New Roman"/>
          <w:b/>
          <w:lang w:val="es-AR"/>
        </w:rPr>
        <w:t>4</w:t>
      </w:r>
      <w:r w:rsidR="00996816">
        <w:rPr>
          <w:rFonts w:ascii="Times New Roman" w:hAnsi="Times New Roman" w:cs="Times New Roman"/>
          <w:b/>
          <w:lang w:val="es-AR"/>
        </w:rPr>
        <w:t>:</w:t>
      </w:r>
      <w:r w:rsidR="009966C2" w:rsidRPr="00331929">
        <w:rPr>
          <w:rFonts w:ascii="Times New Roman" w:hAnsi="Times New Roman" w:cs="Times New Roman"/>
          <w:b/>
          <w:lang w:val="es-AR"/>
        </w:rPr>
        <w:t xml:space="preserve"> </w:t>
      </w:r>
      <w:r w:rsidR="00D277A4" w:rsidRPr="00331929">
        <w:rPr>
          <w:rFonts w:ascii="Times New Roman" w:hAnsi="Times New Roman" w:cs="Times New Roman"/>
          <w:b/>
          <w:lang w:val="es-AR"/>
        </w:rPr>
        <w:t xml:space="preserve">Superficie </w:t>
      </w:r>
      <w:r w:rsidR="00D051AE" w:rsidRPr="00331929">
        <w:rPr>
          <w:rFonts w:ascii="Times New Roman" w:hAnsi="Times New Roman" w:cs="Times New Roman"/>
          <w:b/>
          <w:lang w:val="es-AR"/>
        </w:rPr>
        <w:t>por tipo de uso de la tierra</w:t>
      </w:r>
      <w:r w:rsidR="00E32357">
        <w:rPr>
          <w:rFonts w:ascii="Times New Roman" w:hAnsi="Times New Roman" w:cs="Times New Roman"/>
          <w:b/>
          <w:lang w:val="es-AR"/>
        </w:rPr>
        <w:t xml:space="preserve"> (h</w:t>
      </w:r>
      <w:r w:rsidR="00331929" w:rsidRPr="00331929">
        <w:rPr>
          <w:rFonts w:ascii="Times New Roman" w:hAnsi="Times New Roman" w:cs="Times New Roman"/>
          <w:b/>
          <w:lang w:val="es-AR"/>
        </w:rPr>
        <w:t>as)</w:t>
      </w:r>
    </w:p>
    <w:tbl>
      <w:tblPr>
        <w:tblStyle w:val="Listamedia2-nfasis1"/>
        <w:tblW w:w="43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1188"/>
        <w:gridCol w:w="1188"/>
        <w:gridCol w:w="1190"/>
        <w:gridCol w:w="1193"/>
      </w:tblGrid>
      <w:tr w:rsidR="00035E91" w:rsidRPr="00331929" w14:paraId="0ABA9C82" w14:textId="77777777" w:rsidTr="00035E91">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932" w:type="pct"/>
            <w:tcBorders>
              <w:top w:val="none" w:sz="0" w:space="0" w:color="auto"/>
              <w:left w:val="none" w:sz="0" w:space="0" w:color="auto"/>
              <w:bottom w:val="none" w:sz="0" w:space="0" w:color="auto"/>
              <w:right w:val="none" w:sz="0" w:space="0" w:color="auto"/>
            </w:tcBorders>
            <w:noWrap/>
          </w:tcPr>
          <w:p w14:paraId="0C17F61C" w14:textId="77777777" w:rsidR="00035E91" w:rsidRPr="00331929" w:rsidRDefault="00035E91" w:rsidP="006803AD">
            <w:pPr>
              <w:jc w:val="center"/>
              <w:rPr>
                <w:rFonts w:ascii="Times New Roman" w:eastAsiaTheme="minorEastAsia" w:hAnsi="Times New Roman" w:cs="Times New Roman"/>
                <w:b/>
                <w:color w:val="auto"/>
                <w:sz w:val="18"/>
                <w:szCs w:val="18"/>
              </w:rPr>
            </w:pPr>
            <w:r w:rsidRPr="00331929">
              <w:rPr>
                <w:rFonts w:ascii="Times New Roman" w:eastAsiaTheme="minorEastAsia" w:hAnsi="Times New Roman" w:cs="Times New Roman"/>
                <w:b/>
                <w:color w:val="auto"/>
                <w:sz w:val="18"/>
                <w:szCs w:val="18"/>
                <w:lang w:val="es-ES"/>
              </w:rPr>
              <w:t>Superficie Implantada</w:t>
            </w:r>
          </w:p>
        </w:tc>
        <w:tc>
          <w:tcPr>
            <w:tcW w:w="766" w:type="pct"/>
            <w:tcBorders>
              <w:top w:val="none" w:sz="0" w:space="0" w:color="auto"/>
              <w:left w:val="none" w:sz="0" w:space="0" w:color="auto"/>
              <w:bottom w:val="none" w:sz="0" w:space="0" w:color="auto"/>
              <w:right w:val="none" w:sz="0" w:space="0" w:color="auto"/>
            </w:tcBorders>
          </w:tcPr>
          <w:p w14:paraId="0E494659" w14:textId="77777777" w:rsidR="00035E91" w:rsidRPr="00331929" w:rsidRDefault="00035E91" w:rsidP="006803AD">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18"/>
                <w:szCs w:val="18"/>
              </w:rPr>
            </w:pPr>
            <w:r w:rsidRPr="00331929">
              <w:rPr>
                <w:rFonts w:ascii="Times New Roman" w:eastAsiaTheme="minorEastAsia" w:hAnsi="Times New Roman" w:cs="Times New Roman"/>
                <w:b/>
                <w:color w:val="auto"/>
                <w:sz w:val="18"/>
                <w:szCs w:val="18"/>
                <w:lang w:val="es-ES"/>
              </w:rPr>
              <w:t>CNA 02</w:t>
            </w:r>
          </w:p>
        </w:tc>
        <w:tc>
          <w:tcPr>
            <w:tcW w:w="766" w:type="pct"/>
            <w:tcBorders>
              <w:top w:val="none" w:sz="0" w:space="0" w:color="auto"/>
              <w:left w:val="none" w:sz="0" w:space="0" w:color="auto"/>
              <w:bottom w:val="none" w:sz="0" w:space="0" w:color="auto"/>
              <w:right w:val="none" w:sz="0" w:space="0" w:color="auto"/>
            </w:tcBorders>
          </w:tcPr>
          <w:p w14:paraId="2C1C8453" w14:textId="77777777" w:rsidR="00035E91" w:rsidRPr="00331929" w:rsidRDefault="00035E91" w:rsidP="006803AD">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18"/>
                <w:szCs w:val="18"/>
              </w:rPr>
            </w:pPr>
            <w:r w:rsidRPr="00331929">
              <w:rPr>
                <w:rFonts w:ascii="Times New Roman" w:eastAsiaTheme="minorEastAsia" w:hAnsi="Times New Roman" w:cs="Times New Roman"/>
                <w:b/>
                <w:color w:val="auto"/>
                <w:sz w:val="18"/>
                <w:szCs w:val="18"/>
              </w:rPr>
              <w:t>%</w:t>
            </w:r>
          </w:p>
        </w:tc>
        <w:tc>
          <w:tcPr>
            <w:tcW w:w="767" w:type="pct"/>
            <w:tcBorders>
              <w:top w:val="none" w:sz="0" w:space="0" w:color="auto"/>
              <w:left w:val="none" w:sz="0" w:space="0" w:color="auto"/>
              <w:bottom w:val="none" w:sz="0" w:space="0" w:color="auto"/>
              <w:right w:val="none" w:sz="0" w:space="0" w:color="auto"/>
            </w:tcBorders>
          </w:tcPr>
          <w:p w14:paraId="5D0D1C46" w14:textId="77777777" w:rsidR="00035E91" w:rsidRPr="00331929" w:rsidRDefault="00035E91" w:rsidP="006803AD">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18"/>
                <w:szCs w:val="18"/>
              </w:rPr>
            </w:pPr>
            <w:r w:rsidRPr="00331929">
              <w:rPr>
                <w:rFonts w:ascii="Times New Roman" w:eastAsiaTheme="minorEastAsia" w:hAnsi="Times New Roman" w:cs="Times New Roman"/>
                <w:b/>
                <w:color w:val="auto"/>
                <w:sz w:val="18"/>
                <w:szCs w:val="18"/>
                <w:lang w:val="es-ES"/>
              </w:rPr>
              <w:t>CNA 18</w:t>
            </w:r>
          </w:p>
        </w:tc>
        <w:tc>
          <w:tcPr>
            <w:tcW w:w="769" w:type="pct"/>
            <w:tcBorders>
              <w:top w:val="none" w:sz="0" w:space="0" w:color="auto"/>
              <w:left w:val="none" w:sz="0" w:space="0" w:color="auto"/>
              <w:bottom w:val="none" w:sz="0" w:space="0" w:color="auto"/>
              <w:right w:val="none" w:sz="0" w:space="0" w:color="auto"/>
            </w:tcBorders>
          </w:tcPr>
          <w:p w14:paraId="5B028524" w14:textId="77777777" w:rsidR="00035E91" w:rsidRPr="00331929" w:rsidRDefault="00035E91" w:rsidP="006803AD">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18"/>
                <w:szCs w:val="18"/>
              </w:rPr>
            </w:pPr>
            <w:r w:rsidRPr="00331929">
              <w:rPr>
                <w:rFonts w:ascii="Times New Roman" w:eastAsiaTheme="minorEastAsia" w:hAnsi="Times New Roman" w:cs="Times New Roman"/>
                <w:b/>
                <w:color w:val="auto"/>
                <w:sz w:val="18"/>
                <w:szCs w:val="18"/>
              </w:rPr>
              <w:t>%</w:t>
            </w:r>
          </w:p>
        </w:tc>
      </w:tr>
      <w:tr w:rsidR="007E13F6" w:rsidRPr="00331929" w14:paraId="1BAF2025" w14:textId="77777777" w:rsidTr="00035E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32" w:type="pct"/>
            <w:tcBorders>
              <w:top w:val="none" w:sz="0" w:space="0" w:color="auto"/>
              <w:left w:val="none" w:sz="0" w:space="0" w:color="auto"/>
              <w:bottom w:val="none" w:sz="0" w:space="0" w:color="auto"/>
              <w:right w:val="none" w:sz="0" w:space="0" w:color="auto"/>
            </w:tcBorders>
            <w:shd w:val="clear" w:color="auto" w:fill="DEEAF6" w:themeFill="accent1" w:themeFillTint="33"/>
            <w:noWrap/>
          </w:tcPr>
          <w:p w14:paraId="3412E651" w14:textId="3482D6A1" w:rsidR="007E13F6" w:rsidRPr="00331929" w:rsidRDefault="007E13F6" w:rsidP="006803AD">
            <w:pPr>
              <w:jc w:val="center"/>
              <w:rPr>
                <w:rFonts w:ascii="Times New Roman" w:eastAsiaTheme="minorEastAsia" w:hAnsi="Times New Roman" w:cs="Times New Roman"/>
                <w:b/>
                <w:color w:val="auto"/>
                <w:sz w:val="18"/>
                <w:szCs w:val="18"/>
              </w:rPr>
            </w:pPr>
            <w:r w:rsidRPr="00331929">
              <w:rPr>
                <w:rFonts w:ascii="Times New Roman" w:eastAsiaTheme="minorEastAsia" w:hAnsi="Times New Roman" w:cs="Times New Roman"/>
                <w:b/>
                <w:color w:val="auto"/>
                <w:sz w:val="18"/>
                <w:szCs w:val="18"/>
                <w:lang w:val="es-ES"/>
              </w:rPr>
              <w:t>Cereales</w:t>
            </w:r>
          </w:p>
        </w:tc>
        <w:tc>
          <w:tcPr>
            <w:tcW w:w="766" w:type="pct"/>
            <w:tcBorders>
              <w:top w:val="none" w:sz="0" w:space="0" w:color="auto"/>
              <w:left w:val="none" w:sz="0" w:space="0" w:color="auto"/>
              <w:bottom w:val="none" w:sz="0" w:space="0" w:color="auto"/>
              <w:right w:val="none" w:sz="0" w:space="0" w:color="auto"/>
            </w:tcBorders>
            <w:shd w:val="clear" w:color="auto" w:fill="DEEAF6" w:themeFill="accent1" w:themeFillTint="33"/>
          </w:tcPr>
          <w:p w14:paraId="541A8904" w14:textId="77777777" w:rsidR="007E13F6" w:rsidRPr="00331929" w:rsidRDefault="007E13F6" w:rsidP="00996816">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rPr>
            </w:pPr>
            <w:r w:rsidRPr="00331929">
              <w:rPr>
                <w:rFonts w:ascii="Times New Roman" w:eastAsiaTheme="minorEastAsia" w:hAnsi="Times New Roman" w:cs="Times New Roman"/>
                <w:color w:val="auto"/>
                <w:sz w:val="18"/>
                <w:szCs w:val="18"/>
              </w:rPr>
              <w:t>130.816,50</w:t>
            </w:r>
          </w:p>
        </w:tc>
        <w:tc>
          <w:tcPr>
            <w:tcW w:w="766" w:type="pct"/>
            <w:tcBorders>
              <w:top w:val="none" w:sz="0" w:space="0" w:color="auto"/>
              <w:left w:val="none" w:sz="0" w:space="0" w:color="auto"/>
              <w:bottom w:val="none" w:sz="0" w:space="0" w:color="auto"/>
              <w:right w:val="none" w:sz="0" w:space="0" w:color="auto"/>
            </w:tcBorders>
            <w:shd w:val="clear" w:color="auto" w:fill="DEEAF6" w:themeFill="accent1" w:themeFillTint="33"/>
          </w:tcPr>
          <w:p w14:paraId="19074542" w14:textId="77777777" w:rsidR="007E13F6" w:rsidRPr="00807C89" w:rsidRDefault="007E13F6" w:rsidP="0099681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07C89">
              <w:rPr>
                <w:rFonts w:ascii="Times New Roman" w:hAnsi="Times New Roman" w:cs="Times New Roman"/>
                <w:sz w:val="18"/>
                <w:szCs w:val="18"/>
              </w:rPr>
              <w:t>18,20</w:t>
            </w:r>
          </w:p>
        </w:tc>
        <w:tc>
          <w:tcPr>
            <w:tcW w:w="767" w:type="pct"/>
            <w:tcBorders>
              <w:top w:val="none" w:sz="0" w:space="0" w:color="auto"/>
              <w:left w:val="none" w:sz="0" w:space="0" w:color="auto"/>
              <w:bottom w:val="none" w:sz="0" w:space="0" w:color="auto"/>
              <w:right w:val="none" w:sz="0" w:space="0" w:color="auto"/>
            </w:tcBorders>
            <w:shd w:val="clear" w:color="auto" w:fill="DEEAF6" w:themeFill="accent1" w:themeFillTint="33"/>
          </w:tcPr>
          <w:p w14:paraId="46F8B08B" w14:textId="77777777" w:rsidR="007E13F6" w:rsidRPr="00331929" w:rsidRDefault="007E13F6" w:rsidP="00996816">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rPr>
            </w:pPr>
            <w:r w:rsidRPr="00331929">
              <w:rPr>
                <w:rFonts w:ascii="Times New Roman" w:eastAsiaTheme="minorEastAsia" w:hAnsi="Times New Roman" w:cs="Times New Roman"/>
                <w:color w:val="auto"/>
                <w:sz w:val="18"/>
                <w:szCs w:val="18"/>
              </w:rPr>
              <w:t>284.238,40</w:t>
            </w:r>
          </w:p>
        </w:tc>
        <w:tc>
          <w:tcPr>
            <w:tcW w:w="769" w:type="pct"/>
            <w:tcBorders>
              <w:top w:val="none" w:sz="0" w:space="0" w:color="auto"/>
              <w:left w:val="none" w:sz="0" w:space="0" w:color="auto"/>
              <w:bottom w:val="none" w:sz="0" w:space="0" w:color="auto"/>
            </w:tcBorders>
            <w:shd w:val="clear" w:color="auto" w:fill="DEEAF6" w:themeFill="accent1" w:themeFillTint="33"/>
          </w:tcPr>
          <w:p w14:paraId="4D99ADD8" w14:textId="77777777" w:rsidR="007E13F6" w:rsidRPr="007E13F6" w:rsidRDefault="007E13F6" w:rsidP="00996816">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rPr>
            </w:pPr>
            <w:r w:rsidRPr="007E13F6">
              <w:rPr>
                <w:rFonts w:ascii="Times New Roman" w:eastAsiaTheme="minorEastAsia" w:hAnsi="Times New Roman" w:cs="Times New Roman"/>
                <w:color w:val="auto"/>
                <w:sz w:val="18"/>
                <w:szCs w:val="18"/>
              </w:rPr>
              <w:t>20,35</w:t>
            </w:r>
          </w:p>
        </w:tc>
      </w:tr>
      <w:tr w:rsidR="007E13F6" w:rsidRPr="00331929" w14:paraId="4213878B" w14:textId="77777777" w:rsidTr="00035E91">
        <w:trPr>
          <w:jc w:val="center"/>
        </w:trPr>
        <w:tc>
          <w:tcPr>
            <w:cnfStyle w:val="001000000000" w:firstRow="0" w:lastRow="0" w:firstColumn="1" w:lastColumn="0" w:oddVBand="0" w:evenVBand="0" w:oddHBand="0" w:evenHBand="0" w:firstRowFirstColumn="0" w:firstRowLastColumn="0" w:lastRowFirstColumn="0" w:lastRowLastColumn="0"/>
            <w:tcW w:w="1932" w:type="pct"/>
            <w:tcBorders>
              <w:top w:val="none" w:sz="0" w:space="0" w:color="auto"/>
              <w:left w:val="none" w:sz="0" w:space="0" w:color="auto"/>
              <w:bottom w:val="none" w:sz="0" w:space="0" w:color="auto"/>
              <w:right w:val="none" w:sz="0" w:space="0" w:color="auto"/>
            </w:tcBorders>
            <w:noWrap/>
          </w:tcPr>
          <w:p w14:paraId="2870FBC4" w14:textId="77777777" w:rsidR="007E13F6" w:rsidRPr="00331929" w:rsidRDefault="007E13F6" w:rsidP="006803AD">
            <w:pPr>
              <w:jc w:val="center"/>
              <w:rPr>
                <w:rFonts w:ascii="Times New Roman" w:eastAsiaTheme="minorEastAsia" w:hAnsi="Times New Roman" w:cs="Times New Roman"/>
                <w:b/>
                <w:color w:val="auto"/>
                <w:sz w:val="18"/>
                <w:szCs w:val="18"/>
              </w:rPr>
            </w:pPr>
            <w:r w:rsidRPr="00331929">
              <w:rPr>
                <w:rFonts w:ascii="Times New Roman" w:eastAsiaTheme="minorEastAsia" w:hAnsi="Times New Roman" w:cs="Times New Roman"/>
                <w:b/>
                <w:color w:val="auto"/>
                <w:sz w:val="18"/>
                <w:szCs w:val="18"/>
                <w:lang w:val="es-ES"/>
              </w:rPr>
              <w:t>Legumbres</w:t>
            </w:r>
          </w:p>
        </w:tc>
        <w:tc>
          <w:tcPr>
            <w:tcW w:w="766" w:type="pct"/>
          </w:tcPr>
          <w:p w14:paraId="11775D41" w14:textId="77777777" w:rsidR="007E13F6" w:rsidRPr="00331929" w:rsidRDefault="007E13F6" w:rsidP="00996816">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18"/>
                <w:szCs w:val="18"/>
              </w:rPr>
            </w:pPr>
            <w:r w:rsidRPr="00331929">
              <w:rPr>
                <w:rFonts w:ascii="Times New Roman" w:eastAsiaTheme="minorEastAsia" w:hAnsi="Times New Roman" w:cs="Times New Roman"/>
                <w:color w:val="auto"/>
                <w:sz w:val="18"/>
                <w:szCs w:val="18"/>
              </w:rPr>
              <w:t>106.832,10</w:t>
            </w:r>
          </w:p>
        </w:tc>
        <w:tc>
          <w:tcPr>
            <w:tcW w:w="766" w:type="pct"/>
          </w:tcPr>
          <w:p w14:paraId="2B41524B" w14:textId="77777777" w:rsidR="007E13F6" w:rsidRPr="00807C89" w:rsidRDefault="007E13F6" w:rsidP="009968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07C89">
              <w:rPr>
                <w:rFonts w:ascii="Times New Roman" w:hAnsi="Times New Roman" w:cs="Times New Roman"/>
                <w:sz w:val="18"/>
                <w:szCs w:val="18"/>
              </w:rPr>
              <w:t>14,87</w:t>
            </w:r>
          </w:p>
        </w:tc>
        <w:tc>
          <w:tcPr>
            <w:tcW w:w="767" w:type="pct"/>
          </w:tcPr>
          <w:p w14:paraId="03FECC42" w14:textId="77777777" w:rsidR="007E13F6" w:rsidRPr="00331929" w:rsidRDefault="007E13F6" w:rsidP="00996816">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18"/>
                <w:szCs w:val="18"/>
              </w:rPr>
            </w:pPr>
            <w:r w:rsidRPr="00331929">
              <w:rPr>
                <w:rFonts w:ascii="Times New Roman" w:eastAsiaTheme="minorEastAsia" w:hAnsi="Times New Roman" w:cs="Times New Roman"/>
                <w:color w:val="auto"/>
                <w:sz w:val="18"/>
                <w:szCs w:val="18"/>
              </w:rPr>
              <w:t>197.007,60</w:t>
            </w:r>
          </w:p>
        </w:tc>
        <w:tc>
          <w:tcPr>
            <w:tcW w:w="769" w:type="pct"/>
          </w:tcPr>
          <w:p w14:paraId="60EEBE9D" w14:textId="77777777" w:rsidR="007E13F6" w:rsidRPr="007E13F6" w:rsidRDefault="007E13F6" w:rsidP="00996816">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18"/>
                <w:szCs w:val="18"/>
              </w:rPr>
            </w:pPr>
            <w:r w:rsidRPr="007E13F6">
              <w:rPr>
                <w:rFonts w:ascii="Times New Roman" w:eastAsiaTheme="minorEastAsia" w:hAnsi="Times New Roman" w:cs="Times New Roman"/>
                <w:color w:val="auto"/>
                <w:sz w:val="18"/>
                <w:szCs w:val="18"/>
              </w:rPr>
              <w:t>14,10</w:t>
            </w:r>
          </w:p>
        </w:tc>
      </w:tr>
      <w:tr w:rsidR="007E13F6" w:rsidRPr="00331929" w14:paraId="21BCBDF1" w14:textId="77777777" w:rsidTr="00035E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32" w:type="pct"/>
            <w:tcBorders>
              <w:top w:val="none" w:sz="0" w:space="0" w:color="auto"/>
              <w:left w:val="none" w:sz="0" w:space="0" w:color="auto"/>
              <w:bottom w:val="none" w:sz="0" w:space="0" w:color="auto"/>
              <w:right w:val="none" w:sz="0" w:space="0" w:color="auto"/>
            </w:tcBorders>
            <w:shd w:val="clear" w:color="auto" w:fill="DEEAF6" w:themeFill="accent1" w:themeFillTint="33"/>
            <w:noWrap/>
          </w:tcPr>
          <w:p w14:paraId="0243B8AA" w14:textId="77777777" w:rsidR="007E13F6" w:rsidRPr="00331929" w:rsidRDefault="007E13F6" w:rsidP="006803AD">
            <w:pPr>
              <w:jc w:val="center"/>
              <w:rPr>
                <w:rFonts w:ascii="Times New Roman" w:eastAsiaTheme="minorEastAsia" w:hAnsi="Times New Roman" w:cs="Times New Roman"/>
                <w:b/>
                <w:color w:val="auto"/>
                <w:sz w:val="18"/>
                <w:szCs w:val="18"/>
              </w:rPr>
            </w:pPr>
            <w:r w:rsidRPr="00331929">
              <w:rPr>
                <w:rFonts w:ascii="Times New Roman" w:eastAsiaTheme="minorEastAsia" w:hAnsi="Times New Roman" w:cs="Times New Roman"/>
                <w:b/>
                <w:color w:val="auto"/>
                <w:sz w:val="18"/>
                <w:szCs w:val="18"/>
                <w:lang w:val="es-ES"/>
              </w:rPr>
              <w:t>Oleaginosas</w:t>
            </w:r>
          </w:p>
        </w:tc>
        <w:tc>
          <w:tcPr>
            <w:tcW w:w="766" w:type="pct"/>
            <w:tcBorders>
              <w:top w:val="none" w:sz="0" w:space="0" w:color="auto"/>
              <w:left w:val="none" w:sz="0" w:space="0" w:color="auto"/>
              <w:bottom w:val="none" w:sz="0" w:space="0" w:color="auto"/>
              <w:right w:val="none" w:sz="0" w:space="0" w:color="auto"/>
            </w:tcBorders>
            <w:shd w:val="clear" w:color="auto" w:fill="DEEAF6" w:themeFill="accent1" w:themeFillTint="33"/>
          </w:tcPr>
          <w:p w14:paraId="7B100B13" w14:textId="77777777" w:rsidR="007E13F6" w:rsidRPr="00331929" w:rsidRDefault="007E13F6" w:rsidP="00996816">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rPr>
            </w:pPr>
            <w:r w:rsidRPr="00331929">
              <w:rPr>
                <w:rFonts w:ascii="Times New Roman" w:eastAsiaTheme="minorEastAsia" w:hAnsi="Times New Roman" w:cs="Times New Roman"/>
                <w:color w:val="auto"/>
                <w:sz w:val="18"/>
                <w:szCs w:val="18"/>
              </w:rPr>
              <w:t>322.441,80</w:t>
            </w:r>
          </w:p>
        </w:tc>
        <w:tc>
          <w:tcPr>
            <w:tcW w:w="766" w:type="pct"/>
            <w:tcBorders>
              <w:top w:val="none" w:sz="0" w:space="0" w:color="auto"/>
              <w:left w:val="none" w:sz="0" w:space="0" w:color="auto"/>
              <w:bottom w:val="none" w:sz="0" w:space="0" w:color="auto"/>
              <w:right w:val="none" w:sz="0" w:space="0" w:color="auto"/>
            </w:tcBorders>
            <w:shd w:val="clear" w:color="auto" w:fill="DEEAF6" w:themeFill="accent1" w:themeFillTint="33"/>
          </w:tcPr>
          <w:p w14:paraId="3185D663" w14:textId="77777777" w:rsidR="007E13F6" w:rsidRPr="00807C89" w:rsidRDefault="007E13F6" w:rsidP="0099681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07C89">
              <w:rPr>
                <w:rFonts w:ascii="Times New Roman" w:hAnsi="Times New Roman" w:cs="Times New Roman"/>
                <w:sz w:val="18"/>
                <w:szCs w:val="18"/>
              </w:rPr>
              <w:t>44,87</w:t>
            </w:r>
          </w:p>
        </w:tc>
        <w:tc>
          <w:tcPr>
            <w:tcW w:w="767" w:type="pct"/>
            <w:tcBorders>
              <w:top w:val="none" w:sz="0" w:space="0" w:color="auto"/>
              <w:left w:val="none" w:sz="0" w:space="0" w:color="auto"/>
              <w:bottom w:val="none" w:sz="0" w:space="0" w:color="auto"/>
              <w:right w:val="none" w:sz="0" w:space="0" w:color="auto"/>
            </w:tcBorders>
            <w:shd w:val="clear" w:color="auto" w:fill="DEEAF6" w:themeFill="accent1" w:themeFillTint="33"/>
          </w:tcPr>
          <w:p w14:paraId="767E4F88" w14:textId="77777777" w:rsidR="007E13F6" w:rsidRPr="00331929" w:rsidRDefault="007E13F6" w:rsidP="00996816">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rPr>
            </w:pPr>
            <w:r w:rsidRPr="00331929">
              <w:rPr>
                <w:rFonts w:ascii="Times New Roman" w:eastAsiaTheme="minorEastAsia" w:hAnsi="Times New Roman" w:cs="Times New Roman"/>
                <w:color w:val="auto"/>
                <w:sz w:val="18"/>
                <w:szCs w:val="18"/>
              </w:rPr>
              <w:t>279.226,90</w:t>
            </w:r>
          </w:p>
        </w:tc>
        <w:tc>
          <w:tcPr>
            <w:tcW w:w="769" w:type="pct"/>
            <w:tcBorders>
              <w:top w:val="none" w:sz="0" w:space="0" w:color="auto"/>
              <w:left w:val="none" w:sz="0" w:space="0" w:color="auto"/>
              <w:bottom w:val="none" w:sz="0" w:space="0" w:color="auto"/>
            </w:tcBorders>
            <w:shd w:val="clear" w:color="auto" w:fill="DEEAF6" w:themeFill="accent1" w:themeFillTint="33"/>
          </w:tcPr>
          <w:p w14:paraId="66BDFDC1" w14:textId="77777777" w:rsidR="007E13F6" w:rsidRPr="007E13F6" w:rsidRDefault="007E13F6" w:rsidP="00996816">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rPr>
            </w:pPr>
            <w:r w:rsidRPr="007E13F6">
              <w:rPr>
                <w:rFonts w:ascii="Times New Roman" w:eastAsiaTheme="minorEastAsia" w:hAnsi="Times New Roman" w:cs="Times New Roman"/>
                <w:color w:val="auto"/>
                <w:sz w:val="18"/>
                <w:szCs w:val="18"/>
              </w:rPr>
              <w:t>19,99</w:t>
            </w:r>
          </w:p>
        </w:tc>
      </w:tr>
      <w:tr w:rsidR="007E13F6" w:rsidRPr="00331929" w14:paraId="42607D1D" w14:textId="77777777" w:rsidTr="00035E91">
        <w:trPr>
          <w:jc w:val="center"/>
        </w:trPr>
        <w:tc>
          <w:tcPr>
            <w:cnfStyle w:val="001000000000" w:firstRow="0" w:lastRow="0" w:firstColumn="1" w:lastColumn="0" w:oddVBand="0" w:evenVBand="0" w:oddHBand="0" w:evenHBand="0" w:firstRowFirstColumn="0" w:firstRowLastColumn="0" w:lastRowFirstColumn="0" w:lastRowLastColumn="0"/>
            <w:tcW w:w="1932" w:type="pct"/>
            <w:tcBorders>
              <w:top w:val="none" w:sz="0" w:space="0" w:color="auto"/>
              <w:left w:val="none" w:sz="0" w:space="0" w:color="auto"/>
              <w:bottom w:val="none" w:sz="0" w:space="0" w:color="auto"/>
              <w:right w:val="none" w:sz="0" w:space="0" w:color="auto"/>
            </w:tcBorders>
            <w:noWrap/>
          </w:tcPr>
          <w:p w14:paraId="60CF7E72" w14:textId="77777777" w:rsidR="007E13F6" w:rsidRPr="00331929" w:rsidRDefault="007E13F6" w:rsidP="006803AD">
            <w:pPr>
              <w:jc w:val="center"/>
              <w:rPr>
                <w:rFonts w:ascii="Times New Roman" w:eastAsiaTheme="minorEastAsia" w:hAnsi="Times New Roman" w:cs="Times New Roman"/>
                <w:b/>
                <w:color w:val="auto"/>
                <w:sz w:val="18"/>
                <w:szCs w:val="18"/>
              </w:rPr>
            </w:pPr>
            <w:r w:rsidRPr="00331929">
              <w:rPr>
                <w:rFonts w:ascii="Times New Roman" w:eastAsiaTheme="minorEastAsia" w:hAnsi="Times New Roman" w:cs="Times New Roman"/>
                <w:b/>
                <w:color w:val="auto"/>
                <w:sz w:val="18"/>
                <w:szCs w:val="18"/>
              </w:rPr>
              <w:t>Industriales</w:t>
            </w:r>
          </w:p>
        </w:tc>
        <w:tc>
          <w:tcPr>
            <w:tcW w:w="766" w:type="pct"/>
          </w:tcPr>
          <w:p w14:paraId="1332C896" w14:textId="77777777" w:rsidR="007E13F6" w:rsidRPr="00331929" w:rsidRDefault="007E13F6" w:rsidP="00996816">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18"/>
                <w:szCs w:val="18"/>
              </w:rPr>
            </w:pPr>
            <w:r w:rsidRPr="00331929">
              <w:rPr>
                <w:rFonts w:ascii="Times New Roman" w:eastAsiaTheme="minorEastAsia" w:hAnsi="Times New Roman" w:cs="Times New Roman"/>
                <w:color w:val="auto"/>
                <w:sz w:val="18"/>
                <w:szCs w:val="18"/>
              </w:rPr>
              <w:t>20.346,40</w:t>
            </w:r>
          </w:p>
        </w:tc>
        <w:tc>
          <w:tcPr>
            <w:tcW w:w="766" w:type="pct"/>
          </w:tcPr>
          <w:p w14:paraId="1E45EEEC" w14:textId="77777777" w:rsidR="007E13F6" w:rsidRPr="00807C89" w:rsidRDefault="007E13F6" w:rsidP="009968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07C89">
              <w:rPr>
                <w:rFonts w:ascii="Times New Roman" w:hAnsi="Times New Roman" w:cs="Times New Roman"/>
                <w:sz w:val="18"/>
                <w:szCs w:val="18"/>
              </w:rPr>
              <w:t>2,83</w:t>
            </w:r>
          </w:p>
        </w:tc>
        <w:tc>
          <w:tcPr>
            <w:tcW w:w="767" w:type="pct"/>
          </w:tcPr>
          <w:p w14:paraId="7BEB91B2" w14:textId="77777777" w:rsidR="007E13F6" w:rsidRPr="00331929" w:rsidRDefault="007E13F6" w:rsidP="00996816">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18"/>
                <w:szCs w:val="18"/>
              </w:rPr>
            </w:pPr>
            <w:r w:rsidRPr="00331929">
              <w:rPr>
                <w:rFonts w:ascii="Times New Roman" w:eastAsiaTheme="minorEastAsia" w:hAnsi="Times New Roman" w:cs="Times New Roman"/>
                <w:color w:val="auto"/>
                <w:sz w:val="18"/>
                <w:szCs w:val="18"/>
              </w:rPr>
              <w:t>66.842,40</w:t>
            </w:r>
          </w:p>
        </w:tc>
        <w:tc>
          <w:tcPr>
            <w:tcW w:w="769" w:type="pct"/>
          </w:tcPr>
          <w:p w14:paraId="17416230" w14:textId="77777777" w:rsidR="007E13F6" w:rsidRPr="007E13F6" w:rsidRDefault="007E13F6" w:rsidP="00996816">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18"/>
                <w:szCs w:val="18"/>
              </w:rPr>
            </w:pPr>
            <w:r w:rsidRPr="007E13F6">
              <w:rPr>
                <w:rFonts w:ascii="Times New Roman" w:eastAsiaTheme="minorEastAsia" w:hAnsi="Times New Roman" w:cs="Times New Roman"/>
                <w:color w:val="auto"/>
                <w:sz w:val="18"/>
                <w:szCs w:val="18"/>
              </w:rPr>
              <w:t>4,78</w:t>
            </w:r>
          </w:p>
        </w:tc>
      </w:tr>
      <w:tr w:rsidR="007E13F6" w:rsidRPr="00331929" w14:paraId="6BFD8963" w14:textId="77777777" w:rsidTr="00035E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32" w:type="pct"/>
            <w:tcBorders>
              <w:top w:val="none" w:sz="0" w:space="0" w:color="auto"/>
              <w:left w:val="none" w:sz="0" w:space="0" w:color="auto"/>
              <w:bottom w:val="none" w:sz="0" w:space="0" w:color="auto"/>
              <w:right w:val="none" w:sz="0" w:space="0" w:color="auto"/>
            </w:tcBorders>
            <w:shd w:val="clear" w:color="auto" w:fill="DEEAF6" w:themeFill="accent1" w:themeFillTint="33"/>
            <w:noWrap/>
          </w:tcPr>
          <w:p w14:paraId="0AACABC9" w14:textId="77777777" w:rsidR="007E13F6" w:rsidRPr="00331929" w:rsidRDefault="007E13F6" w:rsidP="006803AD">
            <w:pPr>
              <w:jc w:val="center"/>
              <w:rPr>
                <w:rFonts w:ascii="Times New Roman" w:eastAsiaTheme="minorEastAsia" w:hAnsi="Times New Roman" w:cs="Times New Roman"/>
                <w:b/>
                <w:color w:val="auto"/>
                <w:sz w:val="18"/>
                <w:szCs w:val="18"/>
                <w:lang w:val="es-ES"/>
              </w:rPr>
            </w:pPr>
            <w:r w:rsidRPr="00331929">
              <w:rPr>
                <w:rFonts w:ascii="Times New Roman" w:eastAsiaTheme="minorEastAsia" w:hAnsi="Times New Roman" w:cs="Times New Roman"/>
                <w:b/>
                <w:color w:val="auto"/>
                <w:sz w:val="18"/>
                <w:szCs w:val="18"/>
                <w:lang w:val="es-ES"/>
              </w:rPr>
              <w:t>Forrajeras anuales</w:t>
            </w:r>
          </w:p>
        </w:tc>
        <w:tc>
          <w:tcPr>
            <w:tcW w:w="766" w:type="pct"/>
            <w:tcBorders>
              <w:top w:val="none" w:sz="0" w:space="0" w:color="auto"/>
              <w:left w:val="none" w:sz="0" w:space="0" w:color="auto"/>
              <w:bottom w:val="none" w:sz="0" w:space="0" w:color="auto"/>
              <w:right w:val="none" w:sz="0" w:space="0" w:color="auto"/>
            </w:tcBorders>
            <w:shd w:val="clear" w:color="auto" w:fill="DEEAF6" w:themeFill="accent1" w:themeFillTint="33"/>
          </w:tcPr>
          <w:p w14:paraId="1D47073A" w14:textId="77777777" w:rsidR="007E13F6" w:rsidRPr="00331929" w:rsidRDefault="007E13F6" w:rsidP="00996816">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lang w:val="es-ES"/>
              </w:rPr>
            </w:pPr>
            <w:r w:rsidRPr="00331929">
              <w:rPr>
                <w:rFonts w:ascii="Times New Roman" w:eastAsiaTheme="minorEastAsia" w:hAnsi="Times New Roman" w:cs="Times New Roman"/>
                <w:color w:val="auto"/>
                <w:sz w:val="18"/>
                <w:szCs w:val="18"/>
                <w:lang w:val="es-ES"/>
              </w:rPr>
              <w:t>18.748,30</w:t>
            </w:r>
          </w:p>
        </w:tc>
        <w:tc>
          <w:tcPr>
            <w:tcW w:w="766" w:type="pct"/>
            <w:tcBorders>
              <w:top w:val="none" w:sz="0" w:space="0" w:color="auto"/>
              <w:left w:val="none" w:sz="0" w:space="0" w:color="auto"/>
              <w:bottom w:val="none" w:sz="0" w:space="0" w:color="auto"/>
              <w:right w:val="none" w:sz="0" w:space="0" w:color="auto"/>
            </w:tcBorders>
            <w:shd w:val="clear" w:color="auto" w:fill="DEEAF6" w:themeFill="accent1" w:themeFillTint="33"/>
          </w:tcPr>
          <w:p w14:paraId="48ED014E" w14:textId="77777777" w:rsidR="007E13F6" w:rsidRPr="00807C89" w:rsidRDefault="007E13F6" w:rsidP="0099681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07C89">
              <w:rPr>
                <w:rFonts w:ascii="Times New Roman" w:hAnsi="Times New Roman" w:cs="Times New Roman"/>
                <w:sz w:val="18"/>
                <w:szCs w:val="18"/>
              </w:rPr>
              <w:t>2,61</w:t>
            </w:r>
          </w:p>
        </w:tc>
        <w:tc>
          <w:tcPr>
            <w:tcW w:w="767" w:type="pct"/>
            <w:tcBorders>
              <w:top w:val="none" w:sz="0" w:space="0" w:color="auto"/>
              <w:left w:val="none" w:sz="0" w:space="0" w:color="auto"/>
              <w:bottom w:val="none" w:sz="0" w:space="0" w:color="auto"/>
              <w:right w:val="none" w:sz="0" w:space="0" w:color="auto"/>
            </w:tcBorders>
            <w:shd w:val="clear" w:color="auto" w:fill="DEEAF6" w:themeFill="accent1" w:themeFillTint="33"/>
          </w:tcPr>
          <w:p w14:paraId="4757E0E2" w14:textId="68F5EAF3" w:rsidR="007E13F6" w:rsidRPr="00331929" w:rsidRDefault="007E13F6" w:rsidP="00996816">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lang w:val="es-ES"/>
              </w:rPr>
            </w:pPr>
            <w:r w:rsidRPr="00331929">
              <w:rPr>
                <w:rFonts w:ascii="Times New Roman" w:eastAsiaTheme="minorEastAsia" w:hAnsi="Times New Roman" w:cs="Times New Roman"/>
                <w:color w:val="auto"/>
                <w:sz w:val="18"/>
                <w:szCs w:val="18"/>
                <w:lang w:val="es-ES"/>
              </w:rPr>
              <w:t>40.681</w:t>
            </w:r>
            <w:r w:rsidR="00C718BB">
              <w:rPr>
                <w:rFonts w:ascii="Times New Roman" w:eastAsiaTheme="minorEastAsia" w:hAnsi="Times New Roman" w:cs="Times New Roman"/>
                <w:color w:val="auto"/>
                <w:sz w:val="18"/>
                <w:szCs w:val="18"/>
                <w:lang w:val="es-ES"/>
              </w:rPr>
              <w:t>,</w:t>
            </w:r>
            <w:r w:rsidRPr="00331929">
              <w:rPr>
                <w:rFonts w:ascii="Times New Roman" w:eastAsiaTheme="minorEastAsia" w:hAnsi="Times New Roman" w:cs="Times New Roman"/>
                <w:color w:val="auto"/>
                <w:sz w:val="18"/>
                <w:szCs w:val="18"/>
                <w:lang w:val="es-ES"/>
              </w:rPr>
              <w:t>0</w:t>
            </w:r>
            <w:r w:rsidR="00C718BB">
              <w:rPr>
                <w:rFonts w:ascii="Times New Roman" w:eastAsiaTheme="minorEastAsia" w:hAnsi="Times New Roman" w:cs="Times New Roman"/>
                <w:color w:val="auto"/>
                <w:sz w:val="18"/>
                <w:szCs w:val="18"/>
                <w:lang w:val="es-ES"/>
              </w:rPr>
              <w:t>0</w:t>
            </w:r>
          </w:p>
        </w:tc>
        <w:tc>
          <w:tcPr>
            <w:tcW w:w="769" w:type="pct"/>
            <w:tcBorders>
              <w:top w:val="none" w:sz="0" w:space="0" w:color="auto"/>
              <w:left w:val="none" w:sz="0" w:space="0" w:color="auto"/>
              <w:bottom w:val="none" w:sz="0" w:space="0" w:color="auto"/>
            </w:tcBorders>
            <w:shd w:val="clear" w:color="auto" w:fill="DEEAF6" w:themeFill="accent1" w:themeFillTint="33"/>
          </w:tcPr>
          <w:p w14:paraId="115B05E3" w14:textId="77777777" w:rsidR="007E13F6" w:rsidRPr="007E13F6" w:rsidRDefault="007E13F6" w:rsidP="00996816">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rPr>
            </w:pPr>
            <w:r w:rsidRPr="007E13F6">
              <w:rPr>
                <w:rFonts w:ascii="Times New Roman" w:eastAsiaTheme="minorEastAsia" w:hAnsi="Times New Roman" w:cs="Times New Roman"/>
                <w:color w:val="auto"/>
                <w:sz w:val="18"/>
                <w:szCs w:val="18"/>
              </w:rPr>
              <w:t>29,12</w:t>
            </w:r>
          </w:p>
        </w:tc>
      </w:tr>
      <w:tr w:rsidR="007E13F6" w:rsidRPr="00331929" w14:paraId="4DD708E9" w14:textId="77777777" w:rsidTr="00035E91">
        <w:trPr>
          <w:jc w:val="center"/>
        </w:trPr>
        <w:tc>
          <w:tcPr>
            <w:cnfStyle w:val="001000000000" w:firstRow="0" w:lastRow="0" w:firstColumn="1" w:lastColumn="0" w:oddVBand="0" w:evenVBand="0" w:oddHBand="0" w:evenHBand="0" w:firstRowFirstColumn="0" w:firstRowLastColumn="0" w:lastRowFirstColumn="0" w:lastRowLastColumn="0"/>
            <w:tcW w:w="1932" w:type="pct"/>
            <w:tcBorders>
              <w:top w:val="none" w:sz="0" w:space="0" w:color="auto"/>
              <w:left w:val="none" w:sz="0" w:space="0" w:color="auto"/>
              <w:bottom w:val="none" w:sz="0" w:space="0" w:color="auto"/>
              <w:right w:val="none" w:sz="0" w:space="0" w:color="auto"/>
            </w:tcBorders>
            <w:noWrap/>
          </w:tcPr>
          <w:p w14:paraId="788C9672" w14:textId="77777777" w:rsidR="007E13F6" w:rsidRPr="00331929" w:rsidRDefault="007E13F6" w:rsidP="006803AD">
            <w:pPr>
              <w:jc w:val="center"/>
              <w:rPr>
                <w:rFonts w:ascii="Times New Roman" w:eastAsiaTheme="minorEastAsia" w:hAnsi="Times New Roman" w:cs="Times New Roman"/>
                <w:b/>
                <w:color w:val="auto"/>
                <w:sz w:val="18"/>
                <w:szCs w:val="18"/>
                <w:lang w:val="es-ES"/>
              </w:rPr>
            </w:pPr>
            <w:r w:rsidRPr="00331929">
              <w:rPr>
                <w:rFonts w:ascii="Times New Roman" w:eastAsiaTheme="minorEastAsia" w:hAnsi="Times New Roman" w:cs="Times New Roman"/>
                <w:b/>
                <w:color w:val="auto"/>
                <w:sz w:val="18"/>
                <w:szCs w:val="18"/>
                <w:lang w:val="es-ES"/>
              </w:rPr>
              <w:t>Forrajeras perennes</w:t>
            </w:r>
          </w:p>
        </w:tc>
        <w:tc>
          <w:tcPr>
            <w:tcW w:w="766" w:type="pct"/>
          </w:tcPr>
          <w:p w14:paraId="44747A71" w14:textId="77777777" w:rsidR="007E13F6" w:rsidRPr="00331929" w:rsidRDefault="007E13F6" w:rsidP="00996816">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18"/>
                <w:szCs w:val="18"/>
                <w:lang w:val="es-ES"/>
              </w:rPr>
            </w:pPr>
            <w:r w:rsidRPr="00331929">
              <w:rPr>
                <w:rFonts w:ascii="Times New Roman" w:eastAsiaTheme="minorEastAsia" w:hAnsi="Times New Roman" w:cs="Times New Roman"/>
                <w:color w:val="auto"/>
                <w:sz w:val="18"/>
                <w:szCs w:val="18"/>
                <w:lang w:val="es-ES"/>
              </w:rPr>
              <w:t>102.958,30</w:t>
            </w:r>
          </w:p>
        </w:tc>
        <w:tc>
          <w:tcPr>
            <w:tcW w:w="766" w:type="pct"/>
          </w:tcPr>
          <w:p w14:paraId="438A1199" w14:textId="77777777" w:rsidR="007E13F6" w:rsidRPr="00807C89" w:rsidRDefault="007E13F6" w:rsidP="009968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07C89">
              <w:rPr>
                <w:rFonts w:ascii="Times New Roman" w:hAnsi="Times New Roman" w:cs="Times New Roman"/>
                <w:sz w:val="18"/>
                <w:szCs w:val="18"/>
              </w:rPr>
              <w:t>14,33</w:t>
            </w:r>
          </w:p>
        </w:tc>
        <w:tc>
          <w:tcPr>
            <w:tcW w:w="767" w:type="pct"/>
          </w:tcPr>
          <w:p w14:paraId="22D1FE8A" w14:textId="77777777" w:rsidR="007E13F6" w:rsidRPr="00331929" w:rsidRDefault="007E13F6" w:rsidP="00996816">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18"/>
                <w:szCs w:val="18"/>
                <w:lang w:val="es-ES"/>
              </w:rPr>
            </w:pPr>
            <w:r w:rsidRPr="00331929">
              <w:rPr>
                <w:rFonts w:ascii="Times New Roman" w:eastAsiaTheme="minorEastAsia" w:hAnsi="Times New Roman" w:cs="Times New Roman"/>
                <w:color w:val="auto"/>
                <w:sz w:val="18"/>
                <w:szCs w:val="18"/>
                <w:lang w:val="es-ES"/>
              </w:rPr>
              <w:t>128.289,70</w:t>
            </w:r>
          </w:p>
        </w:tc>
        <w:tc>
          <w:tcPr>
            <w:tcW w:w="769" w:type="pct"/>
          </w:tcPr>
          <w:p w14:paraId="6D1EB372" w14:textId="77777777" w:rsidR="007E13F6" w:rsidRPr="007E13F6" w:rsidRDefault="007E13F6" w:rsidP="00996816">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18"/>
                <w:szCs w:val="18"/>
              </w:rPr>
            </w:pPr>
            <w:r w:rsidRPr="007E13F6">
              <w:rPr>
                <w:rFonts w:ascii="Times New Roman" w:eastAsiaTheme="minorEastAsia" w:hAnsi="Times New Roman" w:cs="Times New Roman"/>
                <w:color w:val="auto"/>
                <w:sz w:val="18"/>
                <w:szCs w:val="18"/>
              </w:rPr>
              <w:t>9,18</w:t>
            </w:r>
          </w:p>
        </w:tc>
      </w:tr>
      <w:tr w:rsidR="007E13F6" w:rsidRPr="00331929" w14:paraId="60D9CB0D" w14:textId="77777777" w:rsidTr="00035E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32" w:type="pct"/>
            <w:tcBorders>
              <w:top w:val="none" w:sz="0" w:space="0" w:color="auto"/>
              <w:left w:val="none" w:sz="0" w:space="0" w:color="auto"/>
              <w:bottom w:val="none" w:sz="0" w:space="0" w:color="auto"/>
              <w:right w:val="none" w:sz="0" w:space="0" w:color="auto"/>
            </w:tcBorders>
            <w:shd w:val="clear" w:color="auto" w:fill="DEEAF6" w:themeFill="accent1" w:themeFillTint="33"/>
            <w:noWrap/>
          </w:tcPr>
          <w:p w14:paraId="4D7DAD15" w14:textId="77777777" w:rsidR="007E13F6" w:rsidRPr="00331929" w:rsidRDefault="007E13F6" w:rsidP="006803AD">
            <w:pPr>
              <w:jc w:val="center"/>
              <w:rPr>
                <w:rFonts w:ascii="Times New Roman" w:eastAsiaTheme="minorEastAsia" w:hAnsi="Times New Roman" w:cs="Times New Roman"/>
                <w:b/>
                <w:color w:val="auto"/>
                <w:sz w:val="18"/>
                <w:szCs w:val="18"/>
                <w:lang w:val="es-ES"/>
              </w:rPr>
            </w:pPr>
            <w:r w:rsidRPr="00331929">
              <w:rPr>
                <w:rFonts w:ascii="Times New Roman" w:eastAsiaTheme="minorEastAsia" w:hAnsi="Times New Roman" w:cs="Times New Roman"/>
                <w:b/>
                <w:color w:val="auto"/>
                <w:sz w:val="18"/>
                <w:szCs w:val="18"/>
                <w:lang w:val="es-ES"/>
              </w:rPr>
              <w:t>Bosques y montes implantados</w:t>
            </w:r>
          </w:p>
        </w:tc>
        <w:tc>
          <w:tcPr>
            <w:tcW w:w="766" w:type="pct"/>
            <w:tcBorders>
              <w:top w:val="none" w:sz="0" w:space="0" w:color="auto"/>
              <w:left w:val="none" w:sz="0" w:space="0" w:color="auto"/>
              <w:bottom w:val="none" w:sz="0" w:space="0" w:color="auto"/>
              <w:right w:val="none" w:sz="0" w:space="0" w:color="auto"/>
            </w:tcBorders>
            <w:shd w:val="clear" w:color="auto" w:fill="DEEAF6" w:themeFill="accent1" w:themeFillTint="33"/>
          </w:tcPr>
          <w:p w14:paraId="6965E1AF" w14:textId="77777777" w:rsidR="007E13F6" w:rsidRPr="00331929" w:rsidRDefault="007E13F6" w:rsidP="00996816">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lang w:val="es-ES"/>
              </w:rPr>
            </w:pPr>
            <w:r w:rsidRPr="00331929">
              <w:rPr>
                <w:rFonts w:ascii="Times New Roman" w:eastAsiaTheme="minorEastAsia" w:hAnsi="Times New Roman" w:cs="Times New Roman"/>
                <w:color w:val="auto"/>
                <w:sz w:val="18"/>
                <w:szCs w:val="18"/>
                <w:lang w:val="es-ES"/>
              </w:rPr>
              <w:t>5.008,20</w:t>
            </w:r>
          </w:p>
        </w:tc>
        <w:tc>
          <w:tcPr>
            <w:tcW w:w="766" w:type="pct"/>
            <w:tcBorders>
              <w:top w:val="none" w:sz="0" w:space="0" w:color="auto"/>
              <w:left w:val="none" w:sz="0" w:space="0" w:color="auto"/>
              <w:bottom w:val="none" w:sz="0" w:space="0" w:color="auto"/>
              <w:right w:val="none" w:sz="0" w:space="0" w:color="auto"/>
            </w:tcBorders>
            <w:shd w:val="clear" w:color="auto" w:fill="DEEAF6" w:themeFill="accent1" w:themeFillTint="33"/>
          </w:tcPr>
          <w:p w14:paraId="048FD55D" w14:textId="77777777" w:rsidR="007E13F6" w:rsidRPr="00807C89" w:rsidRDefault="007E13F6" w:rsidP="0099681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07C89">
              <w:rPr>
                <w:rFonts w:ascii="Times New Roman" w:hAnsi="Times New Roman" w:cs="Times New Roman"/>
                <w:sz w:val="18"/>
                <w:szCs w:val="18"/>
              </w:rPr>
              <w:t>0,70</w:t>
            </w:r>
          </w:p>
        </w:tc>
        <w:tc>
          <w:tcPr>
            <w:tcW w:w="767" w:type="pct"/>
            <w:tcBorders>
              <w:top w:val="none" w:sz="0" w:space="0" w:color="auto"/>
              <w:left w:val="none" w:sz="0" w:space="0" w:color="auto"/>
              <w:bottom w:val="none" w:sz="0" w:space="0" w:color="auto"/>
              <w:right w:val="none" w:sz="0" w:space="0" w:color="auto"/>
            </w:tcBorders>
            <w:shd w:val="clear" w:color="auto" w:fill="DEEAF6" w:themeFill="accent1" w:themeFillTint="33"/>
          </w:tcPr>
          <w:p w14:paraId="1CF8FBA6" w14:textId="7F257F24" w:rsidR="007E13F6" w:rsidRPr="00331929" w:rsidRDefault="007E13F6" w:rsidP="00996816">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lang w:val="es-ES"/>
              </w:rPr>
            </w:pPr>
            <w:r w:rsidRPr="00331929">
              <w:rPr>
                <w:rFonts w:ascii="Times New Roman" w:eastAsiaTheme="minorEastAsia" w:hAnsi="Times New Roman" w:cs="Times New Roman"/>
                <w:color w:val="auto"/>
                <w:sz w:val="18"/>
                <w:szCs w:val="18"/>
                <w:lang w:val="es-ES"/>
              </w:rPr>
              <w:t>4</w:t>
            </w:r>
            <w:r w:rsidR="00C718BB">
              <w:rPr>
                <w:rFonts w:ascii="Times New Roman" w:eastAsiaTheme="minorEastAsia" w:hAnsi="Times New Roman" w:cs="Times New Roman"/>
                <w:color w:val="auto"/>
                <w:sz w:val="18"/>
                <w:szCs w:val="18"/>
                <w:lang w:val="es-ES"/>
              </w:rPr>
              <w:t>.</w:t>
            </w:r>
            <w:r w:rsidRPr="00331929">
              <w:rPr>
                <w:rFonts w:ascii="Times New Roman" w:eastAsiaTheme="minorEastAsia" w:hAnsi="Times New Roman" w:cs="Times New Roman"/>
                <w:color w:val="auto"/>
                <w:sz w:val="18"/>
                <w:szCs w:val="18"/>
                <w:lang w:val="es-ES"/>
              </w:rPr>
              <w:t>363,10</w:t>
            </w:r>
          </w:p>
        </w:tc>
        <w:tc>
          <w:tcPr>
            <w:tcW w:w="769" w:type="pct"/>
            <w:tcBorders>
              <w:top w:val="none" w:sz="0" w:space="0" w:color="auto"/>
              <w:left w:val="none" w:sz="0" w:space="0" w:color="auto"/>
              <w:bottom w:val="none" w:sz="0" w:space="0" w:color="auto"/>
            </w:tcBorders>
            <w:shd w:val="clear" w:color="auto" w:fill="DEEAF6" w:themeFill="accent1" w:themeFillTint="33"/>
          </w:tcPr>
          <w:p w14:paraId="16DABEE3" w14:textId="77777777" w:rsidR="007E13F6" w:rsidRPr="007E13F6" w:rsidRDefault="007E13F6" w:rsidP="00996816">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rPr>
            </w:pPr>
            <w:r w:rsidRPr="007E13F6">
              <w:rPr>
                <w:rFonts w:ascii="Times New Roman" w:eastAsiaTheme="minorEastAsia" w:hAnsi="Times New Roman" w:cs="Times New Roman"/>
                <w:color w:val="auto"/>
                <w:sz w:val="18"/>
                <w:szCs w:val="18"/>
              </w:rPr>
              <w:t>0,31</w:t>
            </w:r>
          </w:p>
        </w:tc>
      </w:tr>
      <w:tr w:rsidR="007E13F6" w:rsidRPr="00331929" w14:paraId="57180992" w14:textId="77777777" w:rsidTr="00035E91">
        <w:trPr>
          <w:jc w:val="center"/>
        </w:trPr>
        <w:tc>
          <w:tcPr>
            <w:cnfStyle w:val="001000000000" w:firstRow="0" w:lastRow="0" w:firstColumn="1" w:lastColumn="0" w:oddVBand="0" w:evenVBand="0" w:oddHBand="0" w:evenHBand="0" w:firstRowFirstColumn="0" w:firstRowLastColumn="0" w:lastRowFirstColumn="0" w:lastRowLastColumn="0"/>
            <w:tcW w:w="1932" w:type="pct"/>
            <w:tcBorders>
              <w:top w:val="none" w:sz="0" w:space="0" w:color="auto"/>
              <w:left w:val="none" w:sz="0" w:space="0" w:color="auto"/>
              <w:bottom w:val="none" w:sz="0" w:space="0" w:color="auto"/>
              <w:right w:val="none" w:sz="0" w:space="0" w:color="auto"/>
            </w:tcBorders>
            <w:noWrap/>
          </w:tcPr>
          <w:p w14:paraId="1E4FA198" w14:textId="1A70A765" w:rsidR="007E13F6" w:rsidRPr="00331929" w:rsidRDefault="007E13F6" w:rsidP="006803AD">
            <w:pPr>
              <w:jc w:val="center"/>
              <w:rPr>
                <w:rFonts w:ascii="Times New Roman" w:eastAsiaTheme="minorEastAsia" w:hAnsi="Times New Roman" w:cs="Times New Roman"/>
                <w:b/>
                <w:color w:val="auto"/>
                <w:sz w:val="18"/>
                <w:szCs w:val="18"/>
                <w:lang w:val="es-ES"/>
              </w:rPr>
            </w:pPr>
            <w:r w:rsidRPr="00331929">
              <w:rPr>
                <w:rFonts w:ascii="Times New Roman" w:eastAsiaTheme="minorEastAsia" w:hAnsi="Times New Roman" w:cs="Times New Roman"/>
                <w:b/>
                <w:color w:val="auto"/>
                <w:sz w:val="18"/>
                <w:szCs w:val="18"/>
                <w:lang w:val="es-ES"/>
              </w:rPr>
              <w:t>Frutales</w:t>
            </w:r>
          </w:p>
        </w:tc>
        <w:tc>
          <w:tcPr>
            <w:tcW w:w="766" w:type="pct"/>
          </w:tcPr>
          <w:p w14:paraId="6FF6FEF6" w14:textId="77777777" w:rsidR="007E13F6" w:rsidRPr="00331929" w:rsidRDefault="007E13F6" w:rsidP="00996816">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18"/>
                <w:szCs w:val="18"/>
                <w:lang w:val="es-ES"/>
              </w:rPr>
            </w:pPr>
            <w:r w:rsidRPr="00331929">
              <w:rPr>
                <w:rFonts w:ascii="Times New Roman" w:eastAsiaTheme="minorEastAsia" w:hAnsi="Times New Roman" w:cs="Times New Roman"/>
                <w:color w:val="auto"/>
                <w:sz w:val="18"/>
                <w:szCs w:val="18"/>
                <w:lang w:val="es-ES"/>
              </w:rPr>
              <w:t>11.453,00</w:t>
            </w:r>
          </w:p>
        </w:tc>
        <w:tc>
          <w:tcPr>
            <w:tcW w:w="766" w:type="pct"/>
          </w:tcPr>
          <w:p w14:paraId="71A00CCA" w14:textId="77777777" w:rsidR="007E13F6" w:rsidRPr="00807C89" w:rsidRDefault="007E13F6" w:rsidP="009968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07C89">
              <w:rPr>
                <w:rFonts w:ascii="Times New Roman" w:hAnsi="Times New Roman" w:cs="Times New Roman"/>
                <w:sz w:val="18"/>
                <w:szCs w:val="18"/>
              </w:rPr>
              <w:t>1,59</w:t>
            </w:r>
          </w:p>
        </w:tc>
        <w:tc>
          <w:tcPr>
            <w:tcW w:w="767" w:type="pct"/>
          </w:tcPr>
          <w:p w14:paraId="2417911A" w14:textId="77777777" w:rsidR="007E13F6" w:rsidRPr="00331929" w:rsidRDefault="007E13F6" w:rsidP="00996816">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18"/>
                <w:szCs w:val="18"/>
                <w:lang w:val="es-ES"/>
              </w:rPr>
            </w:pPr>
            <w:r w:rsidRPr="00331929">
              <w:rPr>
                <w:rFonts w:ascii="Times New Roman" w:eastAsiaTheme="minorEastAsia" w:hAnsi="Times New Roman" w:cs="Times New Roman"/>
                <w:color w:val="auto"/>
                <w:sz w:val="18"/>
                <w:szCs w:val="18"/>
                <w:lang w:val="es-ES"/>
              </w:rPr>
              <w:t>30.273,30</w:t>
            </w:r>
          </w:p>
        </w:tc>
        <w:tc>
          <w:tcPr>
            <w:tcW w:w="769" w:type="pct"/>
          </w:tcPr>
          <w:p w14:paraId="372665B1" w14:textId="77777777" w:rsidR="007E13F6" w:rsidRPr="007E13F6" w:rsidRDefault="007E13F6" w:rsidP="00996816">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18"/>
                <w:szCs w:val="18"/>
              </w:rPr>
            </w:pPr>
            <w:r w:rsidRPr="007E13F6">
              <w:rPr>
                <w:rFonts w:ascii="Times New Roman" w:eastAsiaTheme="minorEastAsia" w:hAnsi="Times New Roman" w:cs="Times New Roman"/>
                <w:color w:val="auto"/>
                <w:sz w:val="18"/>
                <w:szCs w:val="18"/>
              </w:rPr>
              <w:t>2,17</w:t>
            </w:r>
          </w:p>
        </w:tc>
      </w:tr>
      <w:tr w:rsidR="007E13F6" w:rsidRPr="00331929" w14:paraId="31E48F0E" w14:textId="77777777" w:rsidTr="00807C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32" w:type="pct"/>
            <w:tcBorders>
              <w:top w:val="none" w:sz="0" w:space="0" w:color="auto"/>
              <w:left w:val="none" w:sz="0" w:space="0" w:color="auto"/>
              <w:bottom w:val="none" w:sz="0" w:space="0" w:color="auto"/>
              <w:right w:val="none" w:sz="0" w:space="0" w:color="auto"/>
            </w:tcBorders>
            <w:shd w:val="clear" w:color="auto" w:fill="DEEAF6" w:themeFill="accent1" w:themeFillTint="33"/>
            <w:noWrap/>
          </w:tcPr>
          <w:p w14:paraId="503410D0" w14:textId="77777777" w:rsidR="007E13F6" w:rsidRPr="00331929" w:rsidRDefault="007E13F6" w:rsidP="006803AD">
            <w:pPr>
              <w:jc w:val="center"/>
              <w:rPr>
                <w:rFonts w:ascii="Times New Roman" w:eastAsiaTheme="minorEastAsia" w:hAnsi="Times New Roman" w:cs="Times New Roman"/>
                <w:b/>
                <w:color w:val="auto"/>
                <w:sz w:val="18"/>
                <w:szCs w:val="18"/>
                <w:lang w:val="es-ES"/>
              </w:rPr>
            </w:pPr>
            <w:r w:rsidRPr="00331929">
              <w:rPr>
                <w:rFonts w:ascii="Times New Roman" w:eastAsiaTheme="minorEastAsia" w:hAnsi="Times New Roman" w:cs="Times New Roman"/>
                <w:b/>
                <w:color w:val="auto"/>
                <w:sz w:val="18"/>
                <w:szCs w:val="18"/>
                <w:lang w:val="es-ES"/>
              </w:rPr>
              <w:t>Total</w:t>
            </w:r>
          </w:p>
        </w:tc>
        <w:tc>
          <w:tcPr>
            <w:tcW w:w="766" w:type="pct"/>
            <w:tcBorders>
              <w:top w:val="none" w:sz="0" w:space="0" w:color="auto"/>
              <w:left w:val="none" w:sz="0" w:space="0" w:color="auto"/>
              <w:bottom w:val="none" w:sz="0" w:space="0" w:color="auto"/>
              <w:right w:val="none" w:sz="0" w:space="0" w:color="auto"/>
            </w:tcBorders>
            <w:shd w:val="clear" w:color="auto" w:fill="DEEAF6" w:themeFill="accent1" w:themeFillTint="33"/>
          </w:tcPr>
          <w:p w14:paraId="7875CF2E" w14:textId="77777777" w:rsidR="007E13F6" w:rsidRPr="00331929" w:rsidRDefault="007E13F6" w:rsidP="00996816">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lang w:val="es-ES"/>
              </w:rPr>
            </w:pPr>
            <w:r w:rsidRPr="00331929">
              <w:rPr>
                <w:rFonts w:ascii="Times New Roman" w:eastAsiaTheme="minorEastAsia" w:hAnsi="Times New Roman" w:cs="Times New Roman"/>
                <w:color w:val="auto"/>
                <w:sz w:val="18"/>
                <w:szCs w:val="18"/>
                <w:lang w:val="es-ES"/>
              </w:rPr>
              <w:t>718.604,60</w:t>
            </w:r>
          </w:p>
        </w:tc>
        <w:tc>
          <w:tcPr>
            <w:tcW w:w="766" w:type="pct"/>
            <w:tcBorders>
              <w:top w:val="none" w:sz="0" w:space="0" w:color="auto"/>
              <w:left w:val="none" w:sz="0" w:space="0" w:color="auto"/>
              <w:bottom w:val="none" w:sz="0" w:space="0" w:color="auto"/>
              <w:right w:val="none" w:sz="0" w:space="0" w:color="auto"/>
            </w:tcBorders>
            <w:shd w:val="clear" w:color="auto" w:fill="DEEAF6" w:themeFill="accent1" w:themeFillTint="33"/>
          </w:tcPr>
          <w:p w14:paraId="5A9A0CD3" w14:textId="77777777" w:rsidR="007E13F6" w:rsidRPr="00807C89" w:rsidRDefault="007E13F6" w:rsidP="0099681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07C89">
              <w:rPr>
                <w:rFonts w:ascii="Times New Roman" w:hAnsi="Times New Roman" w:cs="Times New Roman"/>
                <w:sz w:val="18"/>
                <w:szCs w:val="18"/>
              </w:rPr>
              <w:t>100,00</w:t>
            </w:r>
          </w:p>
        </w:tc>
        <w:tc>
          <w:tcPr>
            <w:tcW w:w="767" w:type="pct"/>
            <w:tcBorders>
              <w:top w:val="none" w:sz="0" w:space="0" w:color="auto"/>
              <w:left w:val="none" w:sz="0" w:space="0" w:color="auto"/>
              <w:bottom w:val="none" w:sz="0" w:space="0" w:color="auto"/>
              <w:right w:val="none" w:sz="0" w:space="0" w:color="auto"/>
            </w:tcBorders>
            <w:shd w:val="clear" w:color="auto" w:fill="DEEAF6" w:themeFill="accent1" w:themeFillTint="33"/>
          </w:tcPr>
          <w:p w14:paraId="62EAD0E5" w14:textId="77777777" w:rsidR="007E13F6" w:rsidRPr="00331929" w:rsidRDefault="007E13F6" w:rsidP="00996816">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lang w:val="es-ES"/>
              </w:rPr>
            </w:pPr>
            <w:r w:rsidRPr="00331929">
              <w:rPr>
                <w:rFonts w:ascii="Times New Roman" w:eastAsiaTheme="minorEastAsia" w:hAnsi="Times New Roman" w:cs="Times New Roman"/>
                <w:color w:val="auto"/>
                <w:sz w:val="18"/>
                <w:szCs w:val="18"/>
                <w:lang w:val="es-ES"/>
              </w:rPr>
              <w:t>1.397.051,40</w:t>
            </w:r>
          </w:p>
        </w:tc>
        <w:tc>
          <w:tcPr>
            <w:tcW w:w="769" w:type="pct"/>
            <w:tcBorders>
              <w:top w:val="none" w:sz="0" w:space="0" w:color="auto"/>
              <w:left w:val="none" w:sz="0" w:space="0" w:color="auto"/>
              <w:bottom w:val="none" w:sz="0" w:space="0" w:color="auto"/>
            </w:tcBorders>
            <w:shd w:val="clear" w:color="auto" w:fill="DEEAF6" w:themeFill="accent1" w:themeFillTint="33"/>
          </w:tcPr>
          <w:p w14:paraId="655CBDA7" w14:textId="77777777" w:rsidR="007E13F6" w:rsidRPr="007E13F6" w:rsidRDefault="007E13F6" w:rsidP="00996816">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rPr>
            </w:pPr>
            <w:r w:rsidRPr="007E13F6">
              <w:rPr>
                <w:rFonts w:ascii="Times New Roman" w:eastAsiaTheme="minorEastAsia" w:hAnsi="Times New Roman" w:cs="Times New Roman"/>
                <w:color w:val="auto"/>
                <w:sz w:val="18"/>
                <w:szCs w:val="18"/>
              </w:rPr>
              <w:t>100,00</w:t>
            </w:r>
          </w:p>
        </w:tc>
      </w:tr>
    </w:tbl>
    <w:p w14:paraId="2850C854" w14:textId="77777777" w:rsidR="004477BC" w:rsidRPr="00331929" w:rsidRDefault="009966C2" w:rsidP="006803AD">
      <w:pPr>
        <w:ind w:left="142"/>
        <w:jc w:val="center"/>
        <w:rPr>
          <w:rFonts w:ascii="Times New Roman" w:hAnsi="Times New Roman" w:cs="Times New Roman"/>
          <w:sz w:val="20"/>
          <w:szCs w:val="20"/>
          <w:lang w:val="es-AR"/>
        </w:rPr>
      </w:pPr>
      <w:r w:rsidRPr="00331929">
        <w:rPr>
          <w:rFonts w:ascii="Times New Roman" w:hAnsi="Times New Roman" w:cs="Times New Roman"/>
          <w:sz w:val="20"/>
          <w:szCs w:val="20"/>
          <w:lang w:val="es-AR"/>
        </w:rPr>
        <w:t>Fuente: Elaboración propia en base a INDEC CNA-18 (res</w:t>
      </w:r>
      <w:r w:rsidR="007E13F6">
        <w:rPr>
          <w:rFonts w:ascii="Times New Roman" w:hAnsi="Times New Roman" w:cs="Times New Roman"/>
          <w:sz w:val="20"/>
          <w:szCs w:val="20"/>
          <w:lang w:val="es-AR"/>
        </w:rPr>
        <w:t>ultados</w:t>
      </w:r>
      <w:r w:rsidRPr="00331929">
        <w:rPr>
          <w:rFonts w:ascii="Times New Roman" w:hAnsi="Times New Roman" w:cs="Times New Roman"/>
          <w:sz w:val="20"/>
          <w:szCs w:val="20"/>
          <w:lang w:val="es-AR"/>
        </w:rPr>
        <w:t xml:space="preserve"> preliminares) y CNA-02</w:t>
      </w:r>
    </w:p>
    <w:p w14:paraId="3E2219DB" w14:textId="2C4177C7" w:rsidR="00A964D6" w:rsidRPr="00331929" w:rsidRDefault="00996816" w:rsidP="006803AD">
      <w:pPr>
        <w:spacing w:before="120" w:after="120"/>
        <w:ind w:left="142"/>
        <w:jc w:val="center"/>
        <w:rPr>
          <w:rFonts w:ascii="Times New Roman" w:hAnsi="Times New Roman" w:cs="Times New Roman"/>
          <w:b/>
          <w:lang w:val="es-AR"/>
        </w:rPr>
      </w:pPr>
      <w:r>
        <w:rPr>
          <w:rFonts w:ascii="Times New Roman" w:hAnsi="Times New Roman" w:cs="Times New Roman"/>
          <w:b/>
          <w:lang w:val="es-AR"/>
        </w:rPr>
        <w:t>Cuadro N°</w:t>
      </w:r>
      <w:r w:rsidR="00AC0523">
        <w:rPr>
          <w:rFonts w:ascii="Times New Roman" w:hAnsi="Times New Roman" w:cs="Times New Roman"/>
          <w:b/>
          <w:lang w:val="es-AR"/>
        </w:rPr>
        <w:t>5</w:t>
      </w:r>
      <w:r>
        <w:rPr>
          <w:rFonts w:ascii="Times New Roman" w:hAnsi="Times New Roman" w:cs="Times New Roman"/>
          <w:b/>
          <w:lang w:val="es-AR"/>
        </w:rPr>
        <w:t>:</w:t>
      </w:r>
      <w:r w:rsidR="009966C2" w:rsidRPr="00331929">
        <w:rPr>
          <w:rFonts w:ascii="Times New Roman" w:hAnsi="Times New Roman" w:cs="Times New Roman"/>
          <w:b/>
          <w:lang w:val="es-AR"/>
        </w:rPr>
        <w:t xml:space="preserve"> </w:t>
      </w:r>
      <w:r w:rsidR="00C26115" w:rsidRPr="00331929">
        <w:rPr>
          <w:rFonts w:ascii="Times New Roman" w:hAnsi="Times New Roman" w:cs="Times New Roman"/>
          <w:b/>
          <w:lang w:val="es-AR"/>
        </w:rPr>
        <w:t>Superficie Implantada por cultivo</w:t>
      </w:r>
      <w:r w:rsidR="00E32357">
        <w:rPr>
          <w:rFonts w:ascii="Times New Roman" w:hAnsi="Times New Roman" w:cs="Times New Roman"/>
          <w:b/>
          <w:lang w:val="es-AR"/>
        </w:rPr>
        <w:t xml:space="preserve"> (h</w:t>
      </w:r>
      <w:r w:rsidR="00F77EB3" w:rsidRPr="00331929">
        <w:rPr>
          <w:rFonts w:ascii="Times New Roman" w:hAnsi="Times New Roman" w:cs="Times New Roman"/>
          <w:b/>
          <w:lang w:val="es-AR"/>
        </w:rPr>
        <w:t>as.)</w:t>
      </w:r>
    </w:p>
    <w:tbl>
      <w:tblPr>
        <w:tblStyle w:val="Listamedia2-nfasis1"/>
        <w:tblW w:w="25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1477"/>
        <w:gridCol w:w="1477"/>
      </w:tblGrid>
      <w:tr w:rsidR="007E13F6" w:rsidRPr="00331929" w14:paraId="5767A15F" w14:textId="77777777" w:rsidTr="007E13F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733" w:type="pct"/>
            <w:tcBorders>
              <w:top w:val="none" w:sz="0" w:space="0" w:color="auto"/>
              <w:left w:val="none" w:sz="0" w:space="0" w:color="auto"/>
              <w:bottom w:val="none" w:sz="0" w:space="0" w:color="auto"/>
              <w:right w:val="none" w:sz="0" w:space="0" w:color="auto"/>
            </w:tcBorders>
            <w:noWrap/>
          </w:tcPr>
          <w:p w14:paraId="3D46AA25" w14:textId="77777777" w:rsidR="007E13F6" w:rsidRPr="00331929" w:rsidRDefault="007E13F6" w:rsidP="006803AD">
            <w:pPr>
              <w:jc w:val="center"/>
              <w:rPr>
                <w:rFonts w:ascii="Times New Roman" w:eastAsiaTheme="minorEastAsia" w:hAnsi="Times New Roman" w:cs="Times New Roman"/>
                <w:b/>
                <w:color w:val="auto"/>
                <w:sz w:val="18"/>
                <w:szCs w:val="18"/>
                <w:lang w:val="es-AR"/>
              </w:rPr>
            </w:pPr>
          </w:p>
        </w:tc>
        <w:tc>
          <w:tcPr>
            <w:tcW w:w="1633" w:type="pct"/>
            <w:tcBorders>
              <w:top w:val="none" w:sz="0" w:space="0" w:color="auto"/>
              <w:left w:val="none" w:sz="0" w:space="0" w:color="auto"/>
              <w:bottom w:val="none" w:sz="0" w:space="0" w:color="auto"/>
              <w:right w:val="none" w:sz="0" w:space="0" w:color="auto"/>
            </w:tcBorders>
          </w:tcPr>
          <w:p w14:paraId="5AFA2123" w14:textId="77777777" w:rsidR="007E13F6" w:rsidRPr="00331929" w:rsidRDefault="007E13F6" w:rsidP="006803AD">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18"/>
                <w:szCs w:val="18"/>
              </w:rPr>
            </w:pPr>
            <w:r w:rsidRPr="00331929">
              <w:rPr>
                <w:rFonts w:ascii="Times New Roman" w:eastAsiaTheme="minorEastAsia" w:hAnsi="Times New Roman" w:cs="Times New Roman"/>
                <w:b/>
                <w:color w:val="auto"/>
                <w:sz w:val="18"/>
                <w:szCs w:val="18"/>
              </w:rPr>
              <w:t>CNA 02</w:t>
            </w:r>
          </w:p>
        </w:tc>
        <w:tc>
          <w:tcPr>
            <w:tcW w:w="1633" w:type="pct"/>
            <w:tcBorders>
              <w:top w:val="none" w:sz="0" w:space="0" w:color="auto"/>
              <w:left w:val="none" w:sz="0" w:space="0" w:color="auto"/>
              <w:bottom w:val="none" w:sz="0" w:space="0" w:color="auto"/>
              <w:right w:val="none" w:sz="0" w:space="0" w:color="auto"/>
            </w:tcBorders>
          </w:tcPr>
          <w:p w14:paraId="48D6116F" w14:textId="77777777" w:rsidR="007E13F6" w:rsidRPr="00331929" w:rsidRDefault="007E13F6" w:rsidP="006803AD">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18"/>
                <w:szCs w:val="18"/>
              </w:rPr>
            </w:pPr>
            <w:r w:rsidRPr="00331929">
              <w:rPr>
                <w:rFonts w:ascii="Times New Roman" w:eastAsiaTheme="minorEastAsia" w:hAnsi="Times New Roman" w:cs="Times New Roman"/>
                <w:b/>
                <w:color w:val="auto"/>
                <w:sz w:val="18"/>
                <w:szCs w:val="18"/>
              </w:rPr>
              <w:t>CNA18</w:t>
            </w:r>
          </w:p>
        </w:tc>
      </w:tr>
      <w:tr w:rsidR="007E13F6" w:rsidRPr="00331929" w14:paraId="29EDD19D" w14:textId="77777777" w:rsidTr="007E13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33" w:type="pct"/>
            <w:tcBorders>
              <w:top w:val="none" w:sz="0" w:space="0" w:color="auto"/>
              <w:left w:val="none" w:sz="0" w:space="0" w:color="auto"/>
              <w:bottom w:val="none" w:sz="0" w:space="0" w:color="auto"/>
              <w:right w:val="none" w:sz="0" w:space="0" w:color="auto"/>
            </w:tcBorders>
            <w:noWrap/>
          </w:tcPr>
          <w:p w14:paraId="3DA68F61" w14:textId="77777777" w:rsidR="007E13F6" w:rsidRPr="00331929" w:rsidRDefault="007E13F6" w:rsidP="006803AD">
            <w:pPr>
              <w:jc w:val="center"/>
              <w:rPr>
                <w:rFonts w:ascii="Times New Roman" w:eastAsiaTheme="minorEastAsia" w:hAnsi="Times New Roman" w:cs="Times New Roman"/>
                <w:b/>
                <w:color w:val="auto"/>
                <w:sz w:val="18"/>
                <w:szCs w:val="18"/>
              </w:rPr>
            </w:pPr>
            <w:r w:rsidRPr="00331929">
              <w:rPr>
                <w:rFonts w:ascii="Times New Roman" w:eastAsiaTheme="minorEastAsia" w:hAnsi="Times New Roman" w:cs="Times New Roman"/>
                <w:b/>
                <w:color w:val="auto"/>
                <w:sz w:val="18"/>
                <w:szCs w:val="18"/>
                <w:lang w:val="es-ES"/>
              </w:rPr>
              <w:t>Poroto</w:t>
            </w:r>
          </w:p>
        </w:tc>
        <w:tc>
          <w:tcPr>
            <w:tcW w:w="1633" w:type="pct"/>
            <w:tcBorders>
              <w:top w:val="none" w:sz="0" w:space="0" w:color="auto"/>
              <w:left w:val="none" w:sz="0" w:space="0" w:color="auto"/>
              <w:bottom w:val="none" w:sz="0" w:space="0" w:color="auto"/>
              <w:right w:val="none" w:sz="0" w:space="0" w:color="auto"/>
            </w:tcBorders>
          </w:tcPr>
          <w:p w14:paraId="39D75C39" w14:textId="77777777" w:rsidR="007E13F6" w:rsidRPr="00331929" w:rsidRDefault="007E13F6" w:rsidP="00996816">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rPr>
            </w:pPr>
            <w:r w:rsidRPr="00331929">
              <w:rPr>
                <w:rFonts w:ascii="Times New Roman" w:hAnsi="Times New Roman" w:cs="Times New Roman"/>
                <w:color w:val="auto"/>
                <w:sz w:val="18"/>
                <w:szCs w:val="18"/>
                <w:lang w:val="es-AR"/>
              </w:rPr>
              <w:t>104.079,4</w:t>
            </w:r>
            <w:r>
              <w:rPr>
                <w:rFonts w:ascii="Times New Roman" w:hAnsi="Times New Roman" w:cs="Times New Roman"/>
                <w:color w:val="auto"/>
                <w:sz w:val="18"/>
                <w:szCs w:val="18"/>
                <w:lang w:val="es-AR"/>
              </w:rPr>
              <w:t>0</w:t>
            </w:r>
          </w:p>
        </w:tc>
        <w:tc>
          <w:tcPr>
            <w:tcW w:w="1633" w:type="pct"/>
            <w:tcBorders>
              <w:top w:val="none" w:sz="0" w:space="0" w:color="auto"/>
              <w:left w:val="none" w:sz="0" w:space="0" w:color="auto"/>
              <w:bottom w:val="none" w:sz="0" w:space="0" w:color="auto"/>
            </w:tcBorders>
          </w:tcPr>
          <w:p w14:paraId="15F9C456" w14:textId="77777777" w:rsidR="007E13F6" w:rsidRPr="00331929" w:rsidRDefault="007E13F6" w:rsidP="00996816">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rPr>
            </w:pPr>
            <w:r w:rsidRPr="00331929">
              <w:rPr>
                <w:rFonts w:ascii="Times New Roman" w:hAnsi="Times New Roman" w:cs="Times New Roman"/>
                <w:color w:val="auto"/>
                <w:sz w:val="18"/>
                <w:szCs w:val="18"/>
                <w:lang w:val="es-AR"/>
              </w:rPr>
              <w:t>157.074,4</w:t>
            </w:r>
            <w:r>
              <w:rPr>
                <w:rFonts w:ascii="Times New Roman" w:hAnsi="Times New Roman" w:cs="Times New Roman"/>
                <w:color w:val="auto"/>
                <w:sz w:val="18"/>
                <w:szCs w:val="18"/>
                <w:lang w:val="es-AR"/>
              </w:rPr>
              <w:t>0</w:t>
            </w:r>
          </w:p>
        </w:tc>
      </w:tr>
      <w:tr w:rsidR="007E13F6" w:rsidRPr="00331929" w14:paraId="5CD43CDD" w14:textId="77777777" w:rsidTr="007E13F6">
        <w:trPr>
          <w:jc w:val="center"/>
        </w:trPr>
        <w:tc>
          <w:tcPr>
            <w:cnfStyle w:val="001000000000" w:firstRow="0" w:lastRow="0" w:firstColumn="1" w:lastColumn="0" w:oddVBand="0" w:evenVBand="0" w:oddHBand="0" w:evenHBand="0" w:firstRowFirstColumn="0" w:firstRowLastColumn="0" w:lastRowFirstColumn="0" w:lastRowLastColumn="0"/>
            <w:tcW w:w="1733" w:type="pct"/>
            <w:tcBorders>
              <w:top w:val="none" w:sz="0" w:space="0" w:color="auto"/>
              <w:left w:val="none" w:sz="0" w:space="0" w:color="auto"/>
              <w:bottom w:val="none" w:sz="0" w:space="0" w:color="auto"/>
              <w:right w:val="none" w:sz="0" w:space="0" w:color="auto"/>
            </w:tcBorders>
            <w:noWrap/>
          </w:tcPr>
          <w:p w14:paraId="238F3A9F" w14:textId="77777777" w:rsidR="007E13F6" w:rsidRPr="00331929" w:rsidRDefault="007E13F6" w:rsidP="006803AD">
            <w:pPr>
              <w:jc w:val="center"/>
              <w:rPr>
                <w:rFonts w:ascii="Times New Roman" w:eastAsiaTheme="minorEastAsia" w:hAnsi="Times New Roman" w:cs="Times New Roman"/>
                <w:b/>
                <w:color w:val="auto"/>
                <w:sz w:val="18"/>
                <w:szCs w:val="18"/>
              </w:rPr>
            </w:pPr>
            <w:r w:rsidRPr="00331929">
              <w:rPr>
                <w:rFonts w:ascii="Times New Roman" w:eastAsiaTheme="minorEastAsia" w:hAnsi="Times New Roman" w:cs="Times New Roman"/>
                <w:b/>
                <w:color w:val="auto"/>
                <w:sz w:val="18"/>
                <w:szCs w:val="18"/>
                <w:lang w:val="es-ES"/>
              </w:rPr>
              <w:t>Soja</w:t>
            </w:r>
          </w:p>
        </w:tc>
        <w:tc>
          <w:tcPr>
            <w:tcW w:w="1633" w:type="pct"/>
          </w:tcPr>
          <w:p w14:paraId="48C89D49" w14:textId="77777777" w:rsidR="007E13F6" w:rsidRPr="00331929" w:rsidRDefault="007E13F6" w:rsidP="00996816">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18"/>
                <w:szCs w:val="18"/>
              </w:rPr>
            </w:pPr>
            <w:r w:rsidRPr="00331929">
              <w:rPr>
                <w:rFonts w:ascii="Times New Roman" w:hAnsi="Times New Roman" w:cs="Times New Roman"/>
                <w:color w:val="auto"/>
                <w:sz w:val="18"/>
                <w:szCs w:val="18"/>
                <w:lang w:val="es-AR"/>
              </w:rPr>
              <w:t>296.981,5</w:t>
            </w:r>
            <w:r>
              <w:rPr>
                <w:rFonts w:ascii="Times New Roman" w:hAnsi="Times New Roman" w:cs="Times New Roman"/>
                <w:color w:val="auto"/>
                <w:sz w:val="18"/>
                <w:szCs w:val="18"/>
                <w:lang w:val="es-AR"/>
              </w:rPr>
              <w:t>0</w:t>
            </w:r>
          </w:p>
        </w:tc>
        <w:tc>
          <w:tcPr>
            <w:tcW w:w="1633" w:type="pct"/>
          </w:tcPr>
          <w:p w14:paraId="5346C3D9" w14:textId="77777777" w:rsidR="007E13F6" w:rsidRPr="00331929" w:rsidRDefault="007E13F6" w:rsidP="00996816">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18"/>
                <w:szCs w:val="18"/>
              </w:rPr>
            </w:pPr>
            <w:r w:rsidRPr="00331929">
              <w:rPr>
                <w:rFonts w:ascii="Times New Roman" w:hAnsi="Times New Roman" w:cs="Times New Roman"/>
                <w:color w:val="auto"/>
                <w:sz w:val="18"/>
                <w:szCs w:val="18"/>
                <w:lang w:val="es-AR"/>
              </w:rPr>
              <w:t>260.496,8</w:t>
            </w:r>
            <w:r>
              <w:rPr>
                <w:rFonts w:ascii="Times New Roman" w:hAnsi="Times New Roman" w:cs="Times New Roman"/>
                <w:color w:val="auto"/>
                <w:sz w:val="18"/>
                <w:szCs w:val="18"/>
                <w:lang w:val="es-AR"/>
              </w:rPr>
              <w:t>0</w:t>
            </w:r>
          </w:p>
        </w:tc>
      </w:tr>
      <w:tr w:rsidR="007E13F6" w:rsidRPr="00331929" w14:paraId="72FD178A" w14:textId="77777777" w:rsidTr="007E13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33" w:type="pct"/>
            <w:tcBorders>
              <w:top w:val="none" w:sz="0" w:space="0" w:color="auto"/>
              <w:left w:val="none" w:sz="0" w:space="0" w:color="auto"/>
              <w:bottom w:val="none" w:sz="0" w:space="0" w:color="auto"/>
              <w:right w:val="none" w:sz="0" w:space="0" w:color="auto"/>
            </w:tcBorders>
            <w:noWrap/>
          </w:tcPr>
          <w:p w14:paraId="552FCCBD" w14:textId="77777777" w:rsidR="007E13F6" w:rsidRPr="00331929" w:rsidRDefault="007E13F6" w:rsidP="006803AD">
            <w:pPr>
              <w:jc w:val="center"/>
              <w:rPr>
                <w:rFonts w:ascii="Times New Roman" w:eastAsiaTheme="minorEastAsia" w:hAnsi="Times New Roman" w:cs="Times New Roman"/>
                <w:b/>
                <w:color w:val="auto"/>
                <w:sz w:val="18"/>
                <w:szCs w:val="18"/>
              </w:rPr>
            </w:pPr>
            <w:r w:rsidRPr="00331929">
              <w:rPr>
                <w:rFonts w:ascii="Times New Roman" w:eastAsiaTheme="minorEastAsia" w:hAnsi="Times New Roman" w:cs="Times New Roman"/>
                <w:b/>
                <w:color w:val="auto"/>
                <w:sz w:val="18"/>
                <w:szCs w:val="18"/>
                <w:lang w:val="es-ES"/>
              </w:rPr>
              <w:t>Garbanzo</w:t>
            </w:r>
          </w:p>
        </w:tc>
        <w:tc>
          <w:tcPr>
            <w:tcW w:w="1633" w:type="pct"/>
            <w:tcBorders>
              <w:top w:val="none" w:sz="0" w:space="0" w:color="auto"/>
              <w:left w:val="none" w:sz="0" w:space="0" w:color="auto"/>
              <w:bottom w:val="none" w:sz="0" w:space="0" w:color="auto"/>
              <w:right w:val="none" w:sz="0" w:space="0" w:color="auto"/>
            </w:tcBorders>
          </w:tcPr>
          <w:p w14:paraId="25CE626D" w14:textId="77777777" w:rsidR="007E13F6" w:rsidRPr="00331929" w:rsidRDefault="007E13F6" w:rsidP="00996816">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rPr>
            </w:pPr>
            <w:r w:rsidRPr="00331929">
              <w:rPr>
                <w:rFonts w:ascii="Times New Roman" w:hAnsi="Times New Roman" w:cs="Times New Roman"/>
                <w:color w:val="auto"/>
                <w:sz w:val="18"/>
                <w:szCs w:val="18"/>
                <w:lang w:val="es-AR"/>
              </w:rPr>
              <w:t>2</w:t>
            </w:r>
            <w:r>
              <w:rPr>
                <w:rFonts w:ascii="Times New Roman" w:hAnsi="Times New Roman" w:cs="Times New Roman"/>
                <w:color w:val="auto"/>
                <w:sz w:val="18"/>
                <w:szCs w:val="18"/>
                <w:lang w:val="es-AR"/>
              </w:rPr>
              <w:t>.</w:t>
            </w:r>
            <w:r w:rsidRPr="00331929">
              <w:rPr>
                <w:rFonts w:ascii="Times New Roman" w:hAnsi="Times New Roman" w:cs="Times New Roman"/>
                <w:color w:val="auto"/>
                <w:sz w:val="18"/>
                <w:szCs w:val="18"/>
                <w:lang w:val="es-AR"/>
              </w:rPr>
              <w:t>168</w:t>
            </w:r>
            <w:r>
              <w:rPr>
                <w:rFonts w:ascii="Times New Roman" w:hAnsi="Times New Roman" w:cs="Times New Roman"/>
                <w:color w:val="auto"/>
                <w:sz w:val="18"/>
                <w:szCs w:val="18"/>
                <w:lang w:val="es-AR"/>
              </w:rPr>
              <w:t>,00</w:t>
            </w:r>
          </w:p>
        </w:tc>
        <w:tc>
          <w:tcPr>
            <w:tcW w:w="1633" w:type="pct"/>
            <w:tcBorders>
              <w:top w:val="none" w:sz="0" w:space="0" w:color="auto"/>
              <w:left w:val="none" w:sz="0" w:space="0" w:color="auto"/>
              <w:bottom w:val="none" w:sz="0" w:space="0" w:color="auto"/>
            </w:tcBorders>
          </w:tcPr>
          <w:p w14:paraId="79A2BB6C" w14:textId="77777777" w:rsidR="007E13F6" w:rsidRPr="00331929" w:rsidRDefault="007E13F6" w:rsidP="00996816">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rPr>
            </w:pPr>
            <w:r w:rsidRPr="00331929">
              <w:rPr>
                <w:rFonts w:ascii="Times New Roman" w:hAnsi="Times New Roman" w:cs="Times New Roman"/>
                <w:color w:val="auto"/>
                <w:sz w:val="18"/>
                <w:szCs w:val="18"/>
                <w:lang w:val="es-AR"/>
              </w:rPr>
              <w:t>38.540,7</w:t>
            </w:r>
            <w:r>
              <w:rPr>
                <w:rFonts w:ascii="Times New Roman" w:hAnsi="Times New Roman" w:cs="Times New Roman"/>
                <w:color w:val="auto"/>
                <w:sz w:val="18"/>
                <w:szCs w:val="18"/>
                <w:lang w:val="es-AR"/>
              </w:rPr>
              <w:t>0</w:t>
            </w:r>
          </w:p>
        </w:tc>
      </w:tr>
      <w:tr w:rsidR="007E13F6" w:rsidRPr="00331929" w14:paraId="6E016C26" w14:textId="77777777" w:rsidTr="007E13F6">
        <w:trPr>
          <w:jc w:val="center"/>
        </w:trPr>
        <w:tc>
          <w:tcPr>
            <w:cnfStyle w:val="001000000000" w:firstRow="0" w:lastRow="0" w:firstColumn="1" w:lastColumn="0" w:oddVBand="0" w:evenVBand="0" w:oddHBand="0" w:evenHBand="0" w:firstRowFirstColumn="0" w:firstRowLastColumn="0" w:lastRowFirstColumn="0" w:lastRowLastColumn="0"/>
            <w:tcW w:w="1733" w:type="pct"/>
            <w:tcBorders>
              <w:top w:val="none" w:sz="0" w:space="0" w:color="auto"/>
              <w:left w:val="none" w:sz="0" w:space="0" w:color="auto"/>
              <w:bottom w:val="none" w:sz="0" w:space="0" w:color="auto"/>
              <w:right w:val="none" w:sz="0" w:space="0" w:color="auto"/>
            </w:tcBorders>
            <w:noWrap/>
          </w:tcPr>
          <w:p w14:paraId="727D0C54" w14:textId="6ED29D6A" w:rsidR="007E13F6" w:rsidRPr="00331929" w:rsidRDefault="007E13F6" w:rsidP="006803AD">
            <w:pPr>
              <w:jc w:val="center"/>
              <w:rPr>
                <w:rFonts w:ascii="Times New Roman" w:eastAsiaTheme="minorEastAsia" w:hAnsi="Times New Roman" w:cs="Times New Roman"/>
                <w:b/>
                <w:color w:val="auto"/>
                <w:sz w:val="18"/>
                <w:szCs w:val="18"/>
              </w:rPr>
            </w:pPr>
            <w:r w:rsidRPr="00331929">
              <w:rPr>
                <w:rFonts w:ascii="Times New Roman" w:eastAsiaTheme="minorEastAsia" w:hAnsi="Times New Roman" w:cs="Times New Roman"/>
                <w:b/>
                <w:color w:val="auto"/>
                <w:sz w:val="18"/>
                <w:szCs w:val="18"/>
                <w:lang w:val="es-ES"/>
              </w:rPr>
              <w:t>Maíz</w:t>
            </w:r>
          </w:p>
        </w:tc>
        <w:tc>
          <w:tcPr>
            <w:tcW w:w="1633" w:type="pct"/>
          </w:tcPr>
          <w:p w14:paraId="424EF4D1" w14:textId="77777777" w:rsidR="007E13F6" w:rsidRPr="00331929" w:rsidRDefault="007E13F6" w:rsidP="00996816">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18"/>
                <w:szCs w:val="18"/>
              </w:rPr>
            </w:pPr>
            <w:r w:rsidRPr="00331929">
              <w:rPr>
                <w:rFonts w:ascii="Times New Roman" w:hAnsi="Times New Roman" w:cs="Times New Roman"/>
                <w:color w:val="auto"/>
                <w:sz w:val="18"/>
                <w:szCs w:val="18"/>
                <w:lang w:val="es-AR"/>
              </w:rPr>
              <w:t>56.757,5</w:t>
            </w:r>
            <w:r>
              <w:rPr>
                <w:rFonts w:ascii="Times New Roman" w:hAnsi="Times New Roman" w:cs="Times New Roman"/>
                <w:color w:val="auto"/>
                <w:sz w:val="18"/>
                <w:szCs w:val="18"/>
                <w:lang w:val="es-AR"/>
              </w:rPr>
              <w:t>0</w:t>
            </w:r>
          </w:p>
        </w:tc>
        <w:tc>
          <w:tcPr>
            <w:tcW w:w="1633" w:type="pct"/>
          </w:tcPr>
          <w:p w14:paraId="6A12CAF8" w14:textId="77777777" w:rsidR="007E13F6" w:rsidRPr="00331929" w:rsidRDefault="007E13F6" w:rsidP="00996816">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18"/>
                <w:szCs w:val="18"/>
              </w:rPr>
            </w:pPr>
            <w:r w:rsidRPr="00331929">
              <w:rPr>
                <w:rFonts w:ascii="Times New Roman" w:hAnsi="Times New Roman" w:cs="Times New Roman"/>
                <w:color w:val="auto"/>
                <w:sz w:val="18"/>
                <w:szCs w:val="18"/>
                <w:lang w:val="es-AR"/>
              </w:rPr>
              <w:t>220.313,5</w:t>
            </w:r>
            <w:r>
              <w:rPr>
                <w:rFonts w:ascii="Times New Roman" w:hAnsi="Times New Roman" w:cs="Times New Roman"/>
                <w:color w:val="auto"/>
                <w:sz w:val="18"/>
                <w:szCs w:val="18"/>
                <w:lang w:val="es-AR"/>
              </w:rPr>
              <w:t>0</w:t>
            </w:r>
          </w:p>
        </w:tc>
      </w:tr>
      <w:tr w:rsidR="007E13F6" w:rsidRPr="00331929" w14:paraId="3147ED56" w14:textId="77777777" w:rsidTr="007E13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33" w:type="pct"/>
            <w:tcBorders>
              <w:top w:val="none" w:sz="0" w:space="0" w:color="auto"/>
              <w:left w:val="none" w:sz="0" w:space="0" w:color="auto"/>
              <w:bottom w:val="none" w:sz="0" w:space="0" w:color="auto"/>
              <w:right w:val="none" w:sz="0" w:space="0" w:color="auto"/>
            </w:tcBorders>
            <w:noWrap/>
          </w:tcPr>
          <w:p w14:paraId="479EE8C3" w14:textId="77777777" w:rsidR="007E13F6" w:rsidRPr="00331929" w:rsidRDefault="007E13F6" w:rsidP="006803AD">
            <w:pPr>
              <w:jc w:val="center"/>
              <w:rPr>
                <w:rFonts w:ascii="Times New Roman" w:eastAsiaTheme="minorEastAsia" w:hAnsi="Times New Roman" w:cs="Times New Roman"/>
                <w:b/>
                <w:color w:val="auto"/>
                <w:sz w:val="18"/>
                <w:szCs w:val="18"/>
              </w:rPr>
            </w:pPr>
            <w:r w:rsidRPr="00331929">
              <w:rPr>
                <w:rFonts w:ascii="Times New Roman" w:eastAsiaTheme="minorEastAsia" w:hAnsi="Times New Roman" w:cs="Times New Roman"/>
                <w:b/>
                <w:color w:val="auto"/>
                <w:sz w:val="18"/>
                <w:szCs w:val="18"/>
                <w:lang w:val="es-ES"/>
              </w:rPr>
              <w:t>Caña de azúcar</w:t>
            </w:r>
          </w:p>
        </w:tc>
        <w:tc>
          <w:tcPr>
            <w:tcW w:w="1633" w:type="pct"/>
            <w:tcBorders>
              <w:top w:val="none" w:sz="0" w:space="0" w:color="auto"/>
              <w:left w:val="none" w:sz="0" w:space="0" w:color="auto"/>
              <w:bottom w:val="none" w:sz="0" w:space="0" w:color="auto"/>
              <w:right w:val="none" w:sz="0" w:space="0" w:color="auto"/>
            </w:tcBorders>
          </w:tcPr>
          <w:p w14:paraId="36545D87" w14:textId="77777777" w:rsidR="007E13F6" w:rsidRPr="00331929" w:rsidRDefault="007E13F6" w:rsidP="00996816">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rPr>
            </w:pPr>
            <w:r w:rsidRPr="00331929">
              <w:rPr>
                <w:rFonts w:ascii="Times New Roman" w:hAnsi="Times New Roman" w:cs="Times New Roman"/>
                <w:color w:val="auto"/>
                <w:sz w:val="18"/>
                <w:szCs w:val="18"/>
                <w:lang w:val="es-AR"/>
              </w:rPr>
              <w:t>5.722</w:t>
            </w:r>
            <w:r>
              <w:rPr>
                <w:rFonts w:ascii="Times New Roman" w:hAnsi="Times New Roman" w:cs="Times New Roman"/>
                <w:color w:val="auto"/>
                <w:sz w:val="18"/>
                <w:szCs w:val="18"/>
                <w:lang w:val="es-AR"/>
              </w:rPr>
              <w:t>,00</w:t>
            </w:r>
          </w:p>
        </w:tc>
        <w:tc>
          <w:tcPr>
            <w:tcW w:w="1633" w:type="pct"/>
            <w:tcBorders>
              <w:top w:val="none" w:sz="0" w:space="0" w:color="auto"/>
              <w:left w:val="none" w:sz="0" w:space="0" w:color="auto"/>
              <w:bottom w:val="none" w:sz="0" w:space="0" w:color="auto"/>
            </w:tcBorders>
          </w:tcPr>
          <w:p w14:paraId="5D94D1F8" w14:textId="77777777" w:rsidR="007E13F6" w:rsidRPr="00331929" w:rsidRDefault="007E13F6" w:rsidP="00996816">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rPr>
            </w:pPr>
            <w:r w:rsidRPr="00331929">
              <w:rPr>
                <w:rFonts w:ascii="Times New Roman" w:hAnsi="Times New Roman" w:cs="Times New Roman"/>
                <w:color w:val="auto"/>
                <w:sz w:val="18"/>
                <w:szCs w:val="18"/>
                <w:lang w:val="es-AR"/>
              </w:rPr>
              <w:t>34.266,5</w:t>
            </w:r>
            <w:r>
              <w:rPr>
                <w:rFonts w:ascii="Times New Roman" w:hAnsi="Times New Roman" w:cs="Times New Roman"/>
                <w:color w:val="auto"/>
                <w:sz w:val="18"/>
                <w:szCs w:val="18"/>
                <w:lang w:val="es-AR"/>
              </w:rPr>
              <w:t>0</w:t>
            </w:r>
          </w:p>
        </w:tc>
      </w:tr>
      <w:tr w:rsidR="007E13F6" w:rsidRPr="00331929" w14:paraId="0D37C91C" w14:textId="77777777" w:rsidTr="007E13F6">
        <w:trPr>
          <w:jc w:val="center"/>
        </w:trPr>
        <w:tc>
          <w:tcPr>
            <w:cnfStyle w:val="001000000000" w:firstRow="0" w:lastRow="0" w:firstColumn="1" w:lastColumn="0" w:oddVBand="0" w:evenVBand="0" w:oddHBand="0" w:evenHBand="0" w:firstRowFirstColumn="0" w:firstRowLastColumn="0" w:lastRowFirstColumn="0" w:lastRowLastColumn="0"/>
            <w:tcW w:w="1733" w:type="pct"/>
            <w:tcBorders>
              <w:top w:val="none" w:sz="0" w:space="0" w:color="auto"/>
              <w:left w:val="none" w:sz="0" w:space="0" w:color="auto"/>
              <w:bottom w:val="none" w:sz="0" w:space="0" w:color="auto"/>
              <w:right w:val="none" w:sz="0" w:space="0" w:color="auto"/>
            </w:tcBorders>
            <w:noWrap/>
          </w:tcPr>
          <w:p w14:paraId="2F68D8B4" w14:textId="77777777" w:rsidR="007E13F6" w:rsidRPr="00331929" w:rsidRDefault="007E13F6" w:rsidP="006803AD">
            <w:pPr>
              <w:jc w:val="center"/>
              <w:rPr>
                <w:rFonts w:ascii="Times New Roman" w:eastAsiaTheme="minorEastAsia" w:hAnsi="Times New Roman" w:cs="Times New Roman"/>
                <w:b/>
                <w:color w:val="auto"/>
                <w:sz w:val="18"/>
                <w:szCs w:val="18"/>
                <w:lang w:val="es-ES"/>
              </w:rPr>
            </w:pPr>
            <w:r w:rsidRPr="00331929">
              <w:rPr>
                <w:rFonts w:ascii="Times New Roman" w:eastAsiaTheme="minorEastAsia" w:hAnsi="Times New Roman" w:cs="Times New Roman"/>
                <w:b/>
                <w:color w:val="auto"/>
                <w:sz w:val="18"/>
                <w:szCs w:val="18"/>
                <w:lang w:val="es-ES"/>
              </w:rPr>
              <w:t>Tabaco</w:t>
            </w:r>
          </w:p>
        </w:tc>
        <w:tc>
          <w:tcPr>
            <w:tcW w:w="1633" w:type="pct"/>
          </w:tcPr>
          <w:p w14:paraId="644E50C6" w14:textId="77777777" w:rsidR="007E13F6" w:rsidRPr="00331929" w:rsidRDefault="007E13F6" w:rsidP="00996816">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18"/>
                <w:szCs w:val="18"/>
              </w:rPr>
            </w:pPr>
            <w:r w:rsidRPr="00331929">
              <w:rPr>
                <w:rFonts w:ascii="Times New Roman" w:hAnsi="Times New Roman" w:cs="Times New Roman"/>
                <w:color w:val="auto"/>
                <w:sz w:val="18"/>
                <w:szCs w:val="18"/>
                <w:lang w:val="es-AR"/>
              </w:rPr>
              <w:t>13.455</w:t>
            </w:r>
            <w:r>
              <w:rPr>
                <w:rFonts w:ascii="Times New Roman" w:hAnsi="Times New Roman" w:cs="Times New Roman"/>
                <w:color w:val="auto"/>
                <w:sz w:val="18"/>
                <w:szCs w:val="18"/>
                <w:lang w:val="es-AR"/>
              </w:rPr>
              <w:t>,00</w:t>
            </w:r>
          </w:p>
        </w:tc>
        <w:tc>
          <w:tcPr>
            <w:tcW w:w="1633" w:type="pct"/>
          </w:tcPr>
          <w:p w14:paraId="2B7D9E89" w14:textId="77777777" w:rsidR="007E13F6" w:rsidRPr="00331929" w:rsidRDefault="007E13F6" w:rsidP="00996816">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18"/>
                <w:szCs w:val="18"/>
              </w:rPr>
            </w:pPr>
            <w:r w:rsidRPr="00331929">
              <w:rPr>
                <w:rFonts w:ascii="Times New Roman" w:hAnsi="Times New Roman" w:cs="Times New Roman"/>
                <w:color w:val="auto"/>
                <w:sz w:val="18"/>
                <w:szCs w:val="18"/>
                <w:lang w:val="es-AR"/>
              </w:rPr>
              <w:t>27.192,30</w:t>
            </w:r>
          </w:p>
        </w:tc>
      </w:tr>
      <w:tr w:rsidR="007E13F6" w:rsidRPr="00331929" w14:paraId="423EDC70" w14:textId="77777777" w:rsidTr="007E13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33" w:type="pct"/>
            <w:tcBorders>
              <w:top w:val="none" w:sz="0" w:space="0" w:color="auto"/>
              <w:left w:val="none" w:sz="0" w:space="0" w:color="auto"/>
              <w:bottom w:val="none" w:sz="0" w:space="0" w:color="auto"/>
              <w:right w:val="none" w:sz="0" w:space="0" w:color="auto"/>
            </w:tcBorders>
            <w:noWrap/>
          </w:tcPr>
          <w:p w14:paraId="302AFAC2" w14:textId="77777777" w:rsidR="007E13F6" w:rsidRPr="00331929" w:rsidRDefault="007E13F6" w:rsidP="006803AD">
            <w:pPr>
              <w:jc w:val="center"/>
              <w:rPr>
                <w:rFonts w:ascii="Times New Roman" w:eastAsiaTheme="minorEastAsia" w:hAnsi="Times New Roman" w:cs="Times New Roman"/>
                <w:b/>
                <w:color w:val="auto"/>
                <w:sz w:val="18"/>
                <w:szCs w:val="18"/>
                <w:lang w:val="es-ES"/>
              </w:rPr>
            </w:pPr>
            <w:r w:rsidRPr="00331929">
              <w:rPr>
                <w:rFonts w:ascii="Times New Roman" w:eastAsiaTheme="minorEastAsia" w:hAnsi="Times New Roman" w:cs="Times New Roman"/>
                <w:b/>
                <w:color w:val="auto"/>
                <w:sz w:val="18"/>
                <w:szCs w:val="18"/>
                <w:lang w:val="es-ES"/>
              </w:rPr>
              <w:t>Naranja</w:t>
            </w:r>
          </w:p>
        </w:tc>
        <w:tc>
          <w:tcPr>
            <w:tcW w:w="1633" w:type="pct"/>
            <w:tcBorders>
              <w:top w:val="none" w:sz="0" w:space="0" w:color="auto"/>
              <w:left w:val="none" w:sz="0" w:space="0" w:color="auto"/>
              <w:bottom w:val="none" w:sz="0" w:space="0" w:color="auto"/>
              <w:right w:val="none" w:sz="0" w:space="0" w:color="auto"/>
            </w:tcBorders>
          </w:tcPr>
          <w:p w14:paraId="7BE2B82B" w14:textId="77777777" w:rsidR="007E13F6" w:rsidRPr="00331929" w:rsidRDefault="007E13F6" w:rsidP="00996816">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lang w:val="es-AR"/>
              </w:rPr>
            </w:pPr>
            <w:r w:rsidRPr="00331929">
              <w:rPr>
                <w:rFonts w:ascii="Times New Roman" w:eastAsiaTheme="minorEastAsia" w:hAnsi="Times New Roman" w:cs="Times New Roman"/>
                <w:color w:val="auto"/>
                <w:sz w:val="18"/>
                <w:szCs w:val="18"/>
                <w:lang w:val="es-AR"/>
              </w:rPr>
              <w:t>1.534</w:t>
            </w:r>
            <w:r>
              <w:rPr>
                <w:rFonts w:ascii="Times New Roman" w:eastAsiaTheme="minorEastAsia" w:hAnsi="Times New Roman" w:cs="Times New Roman"/>
                <w:color w:val="auto"/>
                <w:sz w:val="18"/>
                <w:szCs w:val="18"/>
                <w:lang w:val="es-AR"/>
              </w:rPr>
              <w:t>,00</w:t>
            </w:r>
          </w:p>
        </w:tc>
        <w:tc>
          <w:tcPr>
            <w:tcW w:w="1633" w:type="pct"/>
            <w:tcBorders>
              <w:top w:val="none" w:sz="0" w:space="0" w:color="auto"/>
              <w:left w:val="none" w:sz="0" w:space="0" w:color="auto"/>
              <w:bottom w:val="none" w:sz="0" w:space="0" w:color="auto"/>
            </w:tcBorders>
          </w:tcPr>
          <w:p w14:paraId="43C045B4" w14:textId="77777777" w:rsidR="007E13F6" w:rsidRPr="00331929" w:rsidRDefault="007E13F6" w:rsidP="00996816">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lang w:val="es-AR"/>
              </w:rPr>
            </w:pPr>
            <w:r w:rsidRPr="00331929">
              <w:rPr>
                <w:rFonts w:ascii="Times New Roman" w:eastAsiaTheme="minorEastAsia" w:hAnsi="Times New Roman" w:cs="Times New Roman"/>
                <w:color w:val="auto"/>
                <w:sz w:val="18"/>
                <w:szCs w:val="18"/>
                <w:lang w:val="es-AR"/>
              </w:rPr>
              <w:t>5.796,7</w:t>
            </w:r>
            <w:r>
              <w:rPr>
                <w:rFonts w:ascii="Times New Roman" w:eastAsiaTheme="minorEastAsia" w:hAnsi="Times New Roman" w:cs="Times New Roman"/>
                <w:color w:val="auto"/>
                <w:sz w:val="18"/>
                <w:szCs w:val="18"/>
                <w:lang w:val="es-AR"/>
              </w:rPr>
              <w:t>0</w:t>
            </w:r>
          </w:p>
        </w:tc>
      </w:tr>
      <w:tr w:rsidR="007E13F6" w:rsidRPr="00331929" w14:paraId="7F08ECF3" w14:textId="77777777" w:rsidTr="007E13F6">
        <w:trPr>
          <w:jc w:val="center"/>
        </w:trPr>
        <w:tc>
          <w:tcPr>
            <w:cnfStyle w:val="001000000000" w:firstRow="0" w:lastRow="0" w:firstColumn="1" w:lastColumn="0" w:oddVBand="0" w:evenVBand="0" w:oddHBand="0" w:evenHBand="0" w:firstRowFirstColumn="0" w:firstRowLastColumn="0" w:lastRowFirstColumn="0" w:lastRowLastColumn="0"/>
            <w:tcW w:w="1733" w:type="pct"/>
            <w:tcBorders>
              <w:top w:val="none" w:sz="0" w:space="0" w:color="auto"/>
              <w:left w:val="none" w:sz="0" w:space="0" w:color="auto"/>
              <w:bottom w:val="none" w:sz="0" w:space="0" w:color="auto"/>
              <w:right w:val="none" w:sz="0" w:space="0" w:color="auto"/>
            </w:tcBorders>
            <w:noWrap/>
          </w:tcPr>
          <w:p w14:paraId="009B8A8F" w14:textId="20EDCF8A" w:rsidR="007E13F6" w:rsidRPr="00331929" w:rsidRDefault="007E13F6" w:rsidP="006803AD">
            <w:pPr>
              <w:jc w:val="center"/>
              <w:rPr>
                <w:rFonts w:ascii="Times New Roman" w:eastAsiaTheme="minorEastAsia" w:hAnsi="Times New Roman" w:cs="Times New Roman"/>
                <w:b/>
                <w:color w:val="auto"/>
                <w:sz w:val="18"/>
                <w:szCs w:val="18"/>
                <w:lang w:val="es-ES"/>
              </w:rPr>
            </w:pPr>
            <w:r w:rsidRPr="00331929">
              <w:rPr>
                <w:rFonts w:ascii="Times New Roman" w:eastAsiaTheme="minorEastAsia" w:hAnsi="Times New Roman" w:cs="Times New Roman"/>
                <w:b/>
                <w:color w:val="auto"/>
                <w:sz w:val="18"/>
                <w:szCs w:val="18"/>
                <w:lang w:val="es-ES"/>
              </w:rPr>
              <w:t>Limón</w:t>
            </w:r>
          </w:p>
        </w:tc>
        <w:tc>
          <w:tcPr>
            <w:tcW w:w="1633" w:type="pct"/>
          </w:tcPr>
          <w:p w14:paraId="6A1F4991" w14:textId="77777777" w:rsidR="007E13F6" w:rsidRPr="00331929" w:rsidRDefault="007E13F6" w:rsidP="00996816">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18"/>
                <w:szCs w:val="18"/>
                <w:lang w:val="es-AR"/>
              </w:rPr>
            </w:pPr>
            <w:r w:rsidRPr="00331929">
              <w:rPr>
                <w:rFonts w:ascii="Times New Roman" w:eastAsiaTheme="minorEastAsia" w:hAnsi="Times New Roman" w:cs="Times New Roman"/>
                <w:color w:val="auto"/>
                <w:sz w:val="18"/>
                <w:szCs w:val="18"/>
                <w:lang w:val="es-AR"/>
              </w:rPr>
              <w:t>2.237,5</w:t>
            </w:r>
            <w:r>
              <w:rPr>
                <w:rFonts w:ascii="Times New Roman" w:eastAsiaTheme="minorEastAsia" w:hAnsi="Times New Roman" w:cs="Times New Roman"/>
                <w:color w:val="auto"/>
                <w:sz w:val="18"/>
                <w:szCs w:val="18"/>
                <w:lang w:val="es-AR"/>
              </w:rPr>
              <w:t>0</w:t>
            </w:r>
          </w:p>
        </w:tc>
        <w:tc>
          <w:tcPr>
            <w:tcW w:w="1633" w:type="pct"/>
          </w:tcPr>
          <w:p w14:paraId="4D5633AA" w14:textId="77777777" w:rsidR="007E13F6" w:rsidRPr="00331929" w:rsidRDefault="007E13F6" w:rsidP="00996816">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18"/>
                <w:szCs w:val="18"/>
                <w:lang w:val="es-AR"/>
              </w:rPr>
            </w:pPr>
            <w:r w:rsidRPr="00331929">
              <w:rPr>
                <w:rFonts w:ascii="Times New Roman" w:eastAsiaTheme="minorEastAsia" w:hAnsi="Times New Roman" w:cs="Times New Roman"/>
                <w:color w:val="auto"/>
                <w:sz w:val="18"/>
                <w:szCs w:val="18"/>
                <w:lang w:val="es-AR"/>
              </w:rPr>
              <w:t>2.009,8</w:t>
            </w:r>
            <w:r>
              <w:rPr>
                <w:rFonts w:ascii="Times New Roman" w:eastAsiaTheme="minorEastAsia" w:hAnsi="Times New Roman" w:cs="Times New Roman"/>
                <w:color w:val="auto"/>
                <w:sz w:val="18"/>
                <w:szCs w:val="18"/>
                <w:lang w:val="es-AR"/>
              </w:rPr>
              <w:t>0</w:t>
            </w:r>
          </w:p>
        </w:tc>
      </w:tr>
      <w:tr w:rsidR="007E13F6" w:rsidRPr="00331929" w14:paraId="2456DBE8" w14:textId="77777777" w:rsidTr="007E13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33" w:type="pct"/>
            <w:tcBorders>
              <w:top w:val="none" w:sz="0" w:space="0" w:color="auto"/>
              <w:left w:val="none" w:sz="0" w:space="0" w:color="auto"/>
              <w:bottom w:val="none" w:sz="0" w:space="0" w:color="auto"/>
              <w:right w:val="none" w:sz="0" w:space="0" w:color="auto"/>
            </w:tcBorders>
            <w:noWrap/>
          </w:tcPr>
          <w:p w14:paraId="14773192" w14:textId="77777777" w:rsidR="007E13F6" w:rsidRPr="00331929" w:rsidRDefault="007E13F6" w:rsidP="006803AD">
            <w:pPr>
              <w:jc w:val="center"/>
              <w:rPr>
                <w:rFonts w:ascii="Times New Roman" w:eastAsiaTheme="minorEastAsia" w:hAnsi="Times New Roman" w:cs="Times New Roman"/>
                <w:b/>
                <w:color w:val="auto"/>
                <w:sz w:val="18"/>
                <w:szCs w:val="18"/>
                <w:lang w:val="es-ES"/>
              </w:rPr>
            </w:pPr>
            <w:r w:rsidRPr="00331929">
              <w:rPr>
                <w:rFonts w:ascii="Times New Roman" w:eastAsiaTheme="minorEastAsia" w:hAnsi="Times New Roman" w:cs="Times New Roman"/>
                <w:b/>
                <w:color w:val="auto"/>
                <w:sz w:val="18"/>
                <w:szCs w:val="18"/>
                <w:lang w:val="es-ES"/>
              </w:rPr>
              <w:t>Pomelo</w:t>
            </w:r>
          </w:p>
        </w:tc>
        <w:tc>
          <w:tcPr>
            <w:tcW w:w="1633" w:type="pct"/>
            <w:tcBorders>
              <w:top w:val="none" w:sz="0" w:space="0" w:color="auto"/>
              <w:left w:val="none" w:sz="0" w:space="0" w:color="auto"/>
              <w:bottom w:val="none" w:sz="0" w:space="0" w:color="auto"/>
              <w:right w:val="none" w:sz="0" w:space="0" w:color="auto"/>
            </w:tcBorders>
          </w:tcPr>
          <w:p w14:paraId="3BB57B4A" w14:textId="77777777" w:rsidR="007E13F6" w:rsidRPr="00331929" w:rsidRDefault="007E13F6" w:rsidP="00996816">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lang w:val="es-AR"/>
              </w:rPr>
            </w:pPr>
            <w:r w:rsidRPr="00331929">
              <w:rPr>
                <w:rFonts w:ascii="Times New Roman" w:eastAsiaTheme="minorEastAsia" w:hAnsi="Times New Roman" w:cs="Times New Roman"/>
                <w:color w:val="auto"/>
                <w:sz w:val="18"/>
                <w:szCs w:val="18"/>
                <w:lang w:val="es-AR"/>
              </w:rPr>
              <w:t>1.706,2</w:t>
            </w:r>
            <w:r>
              <w:rPr>
                <w:rFonts w:ascii="Times New Roman" w:eastAsiaTheme="minorEastAsia" w:hAnsi="Times New Roman" w:cs="Times New Roman"/>
                <w:color w:val="auto"/>
                <w:sz w:val="18"/>
                <w:szCs w:val="18"/>
                <w:lang w:val="es-AR"/>
              </w:rPr>
              <w:t>0</w:t>
            </w:r>
          </w:p>
        </w:tc>
        <w:tc>
          <w:tcPr>
            <w:tcW w:w="1633" w:type="pct"/>
            <w:tcBorders>
              <w:top w:val="none" w:sz="0" w:space="0" w:color="auto"/>
              <w:left w:val="none" w:sz="0" w:space="0" w:color="auto"/>
              <w:bottom w:val="none" w:sz="0" w:space="0" w:color="auto"/>
            </w:tcBorders>
          </w:tcPr>
          <w:p w14:paraId="3C47AA23" w14:textId="77777777" w:rsidR="007E13F6" w:rsidRPr="00331929" w:rsidRDefault="007E13F6" w:rsidP="00996816">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18"/>
                <w:szCs w:val="18"/>
                <w:lang w:val="es-AR"/>
              </w:rPr>
            </w:pPr>
            <w:r w:rsidRPr="00331929">
              <w:rPr>
                <w:rFonts w:ascii="Times New Roman" w:eastAsiaTheme="minorEastAsia" w:hAnsi="Times New Roman" w:cs="Times New Roman"/>
                <w:color w:val="auto"/>
                <w:sz w:val="18"/>
                <w:szCs w:val="18"/>
                <w:lang w:val="es-AR"/>
              </w:rPr>
              <w:t>887,3</w:t>
            </w:r>
            <w:r>
              <w:rPr>
                <w:rFonts w:ascii="Times New Roman" w:eastAsiaTheme="minorEastAsia" w:hAnsi="Times New Roman" w:cs="Times New Roman"/>
                <w:color w:val="auto"/>
                <w:sz w:val="18"/>
                <w:szCs w:val="18"/>
                <w:lang w:val="es-AR"/>
              </w:rPr>
              <w:t>0</w:t>
            </w:r>
          </w:p>
        </w:tc>
      </w:tr>
    </w:tbl>
    <w:p w14:paraId="333F08EE" w14:textId="77777777" w:rsidR="009966C2" w:rsidRPr="00331929" w:rsidRDefault="009966C2" w:rsidP="006803AD">
      <w:pPr>
        <w:ind w:left="142"/>
        <w:jc w:val="center"/>
        <w:rPr>
          <w:rFonts w:ascii="Times New Roman" w:hAnsi="Times New Roman" w:cs="Times New Roman"/>
          <w:sz w:val="20"/>
          <w:szCs w:val="20"/>
          <w:lang w:val="es-AR"/>
        </w:rPr>
      </w:pPr>
      <w:r w:rsidRPr="00331929">
        <w:rPr>
          <w:rFonts w:ascii="Times New Roman" w:hAnsi="Times New Roman" w:cs="Times New Roman"/>
          <w:sz w:val="20"/>
          <w:szCs w:val="20"/>
          <w:lang w:val="es-AR"/>
        </w:rPr>
        <w:t xml:space="preserve">Fuente: Elaboración propia </w:t>
      </w:r>
      <w:r w:rsidR="007E13F6">
        <w:rPr>
          <w:rFonts w:ascii="Times New Roman" w:hAnsi="Times New Roman" w:cs="Times New Roman"/>
          <w:sz w:val="20"/>
          <w:szCs w:val="20"/>
          <w:lang w:val="es-AR"/>
        </w:rPr>
        <w:t>en base a INDEC CNA-18 (resultados</w:t>
      </w:r>
      <w:r w:rsidRPr="00331929">
        <w:rPr>
          <w:rFonts w:ascii="Times New Roman" w:hAnsi="Times New Roman" w:cs="Times New Roman"/>
          <w:sz w:val="20"/>
          <w:szCs w:val="20"/>
          <w:lang w:val="es-AR"/>
        </w:rPr>
        <w:t xml:space="preserve"> preliminares) y CNA-02</w:t>
      </w:r>
    </w:p>
    <w:p w14:paraId="14466E67" w14:textId="77777777" w:rsidR="009966C2" w:rsidRPr="00331929" w:rsidRDefault="00801FFD" w:rsidP="00AC03A4">
      <w:pPr>
        <w:spacing w:after="0"/>
        <w:ind w:left="142" w:firstLine="578"/>
        <w:jc w:val="both"/>
        <w:rPr>
          <w:rFonts w:ascii="Times New Roman" w:hAnsi="Times New Roman" w:cs="Times New Roman"/>
          <w:lang w:val="es-AR"/>
        </w:rPr>
      </w:pPr>
      <w:r w:rsidRPr="00331929">
        <w:rPr>
          <w:rFonts w:ascii="Times New Roman" w:hAnsi="Times New Roman" w:cs="Times New Roman"/>
          <w:lang w:val="es-AR"/>
        </w:rPr>
        <w:t xml:space="preserve">Al analizar </w:t>
      </w:r>
      <w:r w:rsidR="00560633" w:rsidRPr="00331929">
        <w:rPr>
          <w:rFonts w:ascii="Times New Roman" w:hAnsi="Times New Roman" w:cs="Times New Roman"/>
          <w:lang w:val="es-AR"/>
        </w:rPr>
        <w:t xml:space="preserve">la superficie relevada de </w:t>
      </w:r>
      <w:r w:rsidRPr="00331929">
        <w:rPr>
          <w:rFonts w:ascii="Times New Roman" w:hAnsi="Times New Roman" w:cs="Times New Roman"/>
          <w:lang w:val="es-AR"/>
        </w:rPr>
        <w:t xml:space="preserve">los cultivos de mayor significancia en la estructura agropecuaria </w:t>
      </w:r>
      <w:r w:rsidR="00560633" w:rsidRPr="00331929">
        <w:rPr>
          <w:rFonts w:ascii="Times New Roman" w:hAnsi="Times New Roman" w:cs="Times New Roman"/>
          <w:lang w:val="es-AR"/>
        </w:rPr>
        <w:t>provincial</w:t>
      </w:r>
      <w:r w:rsidR="00035E91" w:rsidRPr="00331929">
        <w:rPr>
          <w:rFonts w:ascii="Times New Roman" w:hAnsi="Times New Roman" w:cs="Times New Roman"/>
          <w:lang w:val="es-AR"/>
        </w:rPr>
        <w:t>,</w:t>
      </w:r>
      <w:r w:rsidR="00560633" w:rsidRPr="00331929">
        <w:rPr>
          <w:rFonts w:ascii="Times New Roman" w:hAnsi="Times New Roman" w:cs="Times New Roman"/>
          <w:lang w:val="es-AR"/>
        </w:rPr>
        <w:t xml:space="preserve"> </w:t>
      </w:r>
      <w:r w:rsidRPr="00331929">
        <w:rPr>
          <w:rFonts w:ascii="Times New Roman" w:hAnsi="Times New Roman" w:cs="Times New Roman"/>
          <w:lang w:val="es-AR"/>
        </w:rPr>
        <w:t xml:space="preserve">observamos un incremento significativo de todos, a excepción de la </w:t>
      </w:r>
      <w:r w:rsidR="00673CB3" w:rsidRPr="00331929">
        <w:rPr>
          <w:rFonts w:ascii="Times New Roman" w:hAnsi="Times New Roman" w:cs="Times New Roman"/>
          <w:lang w:val="es-AR"/>
        </w:rPr>
        <w:t xml:space="preserve">soja y una </w:t>
      </w:r>
      <w:r w:rsidRPr="00331929">
        <w:rPr>
          <w:rFonts w:ascii="Times New Roman" w:hAnsi="Times New Roman" w:cs="Times New Roman"/>
          <w:lang w:val="es-AR"/>
        </w:rPr>
        <w:t>varia</w:t>
      </w:r>
      <w:r w:rsidR="00035E91" w:rsidRPr="00331929">
        <w:rPr>
          <w:rFonts w:ascii="Times New Roman" w:hAnsi="Times New Roman" w:cs="Times New Roman"/>
          <w:lang w:val="es-AR"/>
        </w:rPr>
        <w:t xml:space="preserve">ción importante al interno de </w:t>
      </w:r>
      <w:r w:rsidRPr="00331929">
        <w:rPr>
          <w:rFonts w:ascii="Times New Roman" w:hAnsi="Times New Roman" w:cs="Times New Roman"/>
          <w:lang w:val="es-AR"/>
        </w:rPr>
        <w:t xml:space="preserve">la producción citrícola, donde decrece la superficie destinada a limón y pomelo, y se </w:t>
      </w:r>
      <w:r w:rsidR="00560633" w:rsidRPr="00331929">
        <w:rPr>
          <w:rFonts w:ascii="Times New Roman" w:hAnsi="Times New Roman" w:cs="Times New Roman"/>
          <w:lang w:val="es-AR"/>
        </w:rPr>
        <w:t>incrementa</w:t>
      </w:r>
      <w:r w:rsidRPr="00331929">
        <w:rPr>
          <w:rFonts w:ascii="Times New Roman" w:hAnsi="Times New Roman" w:cs="Times New Roman"/>
          <w:lang w:val="es-AR"/>
        </w:rPr>
        <w:t xml:space="preserve"> de manera significativa la de naranja</w:t>
      </w:r>
      <w:r w:rsidR="00560633" w:rsidRPr="00331929">
        <w:rPr>
          <w:rFonts w:ascii="Times New Roman" w:hAnsi="Times New Roman" w:cs="Times New Roman"/>
          <w:lang w:val="es-AR"/>
        </w:rPr>
        <w:t>.</w:t>
      </w:r>
    </w:p>
    <w:p w14:paraId="6D061405" w14:textId="6AEF3417" w:rsidR="00673CB3" w:rsidRPr="00331929" w:rsidRDefault="00560633" w:rsidP="00AC03A4">
      <w:pPr>
        <w:spacing w:after="0"/>
        <w:ind w:left="142" w:firstLine="578"/>
        <w:jc w:val="both"/>
        <w:rPr>
          <w:rFonts w:ascii="Times New Roman" w:hAnsi="Times New Roman" w:cs="Times New Roman"/>
          <w:lang w:val="es-AR"/>
        </w:rPr>
      </w:pPr>
      <w:r w:rsidRPr="00331929">
        <w:rPr>
          <w:rFonts w:ascii="Times New Roman" w:hAnsi="Times New Roman" w:cs="Times New Roman"/>
          <w:lang w:val="es-AR"/>
        </w:rPr>
        <w:t>Cabe señalar que l</w:t>
      </w:r>
      <w:r w:rsidR="005F409B" w:rsidRPr="00331929">
        <w:rPr>
          <w:rFonts w:ascii="Times New Roman" w:hAnsi="Times New Roman" w:cs="Times New Roman"/>
          <w:lang w:val="es-AR"/>
        </w:rPr>
        <w:t>lama la atención l</w:t>
      </w:r>
      <w:r w:rsidR="00673CB3" w:rsidRPr="00331929">
        <w:rPr>
          <w:rFonts w:ascii="Times New Roman" w:hAnsi="Times New Roman" w:cs="Times New Roman"/>
          <w:lang w:val="es-AR"/>
        </w:rPr>
        <w:t>a</w:t>
      </w:r>
      <w:r w:rsidR="00452966" w:rsidRPr="00331929">
        <w:rPr>
          <w:rFonts w:ascii="Times New Roman" w:hAnsi="Times New Roman" w:cs="Times New Roman"/>
          <w:lang w:val="es-AR"/>
        </w:rPr>
        <w:t xml:space="preserve"> cifra de disminución</w:t>
      </w:r>
      <w:r w:rsidR="00673CB3" w:rsidRPr="00331929">
        <w:rPr>
          <w:rFonts w:ascii="Times New Roman" w:hAnsi="Times New Roman" w:cs="Times New Roman"/>
          <w:lang w:val="es-AR"/>
        </w:rPr>
        <w:t xml:space="preserve"> del cultivo de soj</w:t>
      </w:r>
      <w:r w:rsidR="00F32680">
        <w:rPr>
          <w:rFonts w:ascii="Times New Roman" w:hAnsi="Times New Roman" w:cs="Times New Roman"/>
          <w:lang w:val="es-AR"/>
        </w:rPr>
        <w:t xml:space="preserve">a y el relativo </w:t>
      </w:r>
      <w:commentRangeStart w:id="1"/>
      <w:r w:rsidR="005F409B" w:rsidRPr="00331929">
        <w:rPr>
          <w:rFonts w:ascii="Times New Roman" w:hAnsi="Times New Roman" w:cs="Times New Roman"/>
          <w:lang w:val="es-AR"/>
        </w:rPr>
        <w:t>crecimiento</w:t>
      </w:r>
      <w:commentRangeEnd w:id="1"/>
      <w:r w:rsidR="00D673B2">
        <w:rPr>
          <w:rStyle w:val="Refdecomentario"/>
        </w:rPr>
        <w:commentReference w:id="1"/>
      </w:r>
      <w:r w:rsidR="005F409B" w:rsidRPr="00331929">
        <w:rPr>
          <w:rFonts w:ascii="Times New Roman" w:hAnsi="Times New Roman" w:cs="Times New Roman"/>
          <w:lang w:val="es-AR"/>
        </w:rPr>
        <w:t xml:space="preserve"> en la superficie sembrada con poroto</w:t>
      </w:r>
      <w:r w:rsidR="001E1DBC" w:rsidRPr="00331929">
        <w:rPr>
          <w:rFonts w:ascii="Times New Roman" w:hAnsi="Times New Roman" w:cs="Times New Roman"/>
          <w:lang w:val="es-AR"/>
        </w:rPr>
        <w:t xml:space="preserve">, cultivos asociados a la expansión de la frontera agrícola en el Norte y </w:t>
      </w:r>
      <w:r w:rsidR="007E13F6">
        <w:rPr>
          <w:rFonts w:ascii="Times New Roman" w:hAnsi="Times New Roman" w:cs="Times New Roman"/>
          <w:lang w:val="es-AR"/>
        </w:rPr>
        <w:t>E</w:t>
      </w:r>
      <w:r w:rsidRPr="00331929">
        <w:rPr>
          <w:rFonts w:ascii="Times New Roman" w:hAnsi="Times New Roman" w:cs="Times New Roman"/>
          <w:lang w:val="es-AR"/>
        </w:rPr>
        <w:t>ste de</w:t>
      </w:r>
      <w:r w:rsidR="001E1DBC" w:rsidRPr="00331929">
        <w:rPr>
          <w:rFonts w:ascii="Times New Roman" w:hAnsi="Times New Roman" w:cs="Times New Roman"/>
          <w:lang w:val="es-AR"/>
        </w:rPr>
        <w:t xml:space="preserve"> la provincia de Salta.</w:t>
      </w:r>
      <w:r w:rsidR="0091354C" w:rsidRPr="00331929">
        <w:rPr>
          <w:rFonts w:ascii="Times New Roman" w:hAnsi="Times New Roman" w:cs="Times New Roman"/>
          <w:lang w:val="es-AR"/>
        </w:rPr>
        <w:t xml:space="preserve"> </w:t>
      </w:r>
      <w:r w:rsidRPr="00331929">
        <w:rPr>
          <w:rFonts w:ascii="Times New Roman" w:hAnsi="Times New Roman" w:cs="Times New Roman"/>
          <w:lang w:val="es-AR"/>
        </w:rPr>
        <w:t xml:space="preserve">En </w:t>
      </w:r>
      <w:r w:rsidR="00673CB3" w:rsidRPr="00331929">
        <w:rPr>
          <w:rFonts w:ascii="Times New Roman" w:hAnsi="Times New Roman" w:cs="Times New Roman"/>
          <w:lang w:val="es-AR"/>
        </w:rPr>
        <w:t xml:space="preserve">especial el cultivo de </w:t>
      </w:r>
      <w:r w:rsidR="00452966" w:rsidRPr="00331929">
        <w:rPr>
          <w:rFonts w:ascii="Times New Roman" w:hAnsi="Times New Roman" w:cs="Times New Roman"/>
          <w:lang w:val="es-AR"/>
        </w:rPr>
        <w:t>soja fue</w:t>
      </w:r>
      <w:r w:rsidR="0091354C" w:rsidRPr="00331929">
        <w:rPr>
          <w:rFonts w:ascii="Times New Roman" w:hAnsi="Times New Roman" w:cs="Times New Roman"/>
          <w:lang w:val="es-AR"/>
        </w:rPr>
        <w:t xml:space="preserve"> dominando el paisaje agrícola </w:t>
      </w:r>
      <w:r w:rsidR="00452966" w:rsidRPr="00331929">
        <w:rPr>
          <w:rFonts w:ascii="Times New Roman" w:hAnsi="Times New Roman" w:cs="Times New Roman"/>
          <w:lang w:val="es-AR"/>
        </w:rPr>
        <w:t>norteño, a</w:t>
      </w:r>
      <w:r w:rsidRPr="00331929">
        <w:rPr>
          <w:rFonts w:ascii="Times New Roman" w:hAnsi="Times New Roman" w:cs="Times New Roman"/>
          <w:lang w:val="es-AR"/>
        </w:rPr>
        <w:t xml:space="preserve"> partir </w:t>
      </w:r>
      <w:r w:rsidR="00452966" w:rsidRPr="00331929">
        <w:rPr>
          <w:rFonts w:ascii="Times New Roman" w:hAnsi="Times New Roman" w:cs="Times New Roman"/>
          <w:lang w:val="es-AR"/>
        </w:rPr>
        <w:t>del crecimiento</w:t>
      </w:r>
      <w:r w:rsidR="0091354C" w:rsidRPr="00331929">
        <w:rPr>
          <w:rFonts w:ascii="Times New Roman" w:hAnsi="Times New Roman" w:cs="Times New Roman"/>
          <w:lang w:val="es-AR"/>
        </w:rPr>
        <w:t xml:space="preserve"> de la demanda internacional y los elevados valores de los precios por el grano y sus de</w:t>
      </w:r>
      <w:r w:rsidR="00673CB3" w:rsidRPr="00331929">
        <w:rPr>
          <w:rFonts w:ascii="Times New Roman" w:hAnsi="Times New Roman" w:cs="Times New Roman"/>
          <w:lang w:val="es-AR"/>
        </w:rPr>
        <w:t>rivados, como el aceite de soja.</w:t>
      </w:r>
      <w:r w:rsidR="00452966" w:rsidRPr="00331929">
        <w:rPr>
          <w:rFonts w:ascii="Times New Roman" w:hAnsi="Times New Roman" w:cs="Times New Roman"/>
          <w:lang w:val="es-AR"/>
        </w:rPr>
        <w:t xml:space="preserve"> Esta expansión, unida a la de la ganadería</w:t>
      </w:r>
      <w:r w:rsidR="00015F8E" w:rsidRPr="00331929">
        <w:rPr>
          <w:rFonts w:ascii="Times New Roman" w:hAnsi="Times New Roman" w:cs="Times New Roman"/>
          <w:lang w:val="es-AR"/>
        </w:rPr>
        <w:t xml:space="preserve"> se realizó </w:t>
      </w:r>
      <w:r w:rsidR="00673CB3" w:rsidRPr="00331929">
        <w:rPr>
          <w:rFonts w:ascii="Times New Roman" w:hAnsi="Times New Roman" w:cs="Times New Roman"/>
          <w:lang w:val="es-AR"/>
        </w:rPr>
        <w:t>desplazando pobladores</w:t>
      </w:r>
      <w:r w:rsidR="00015F8E" w:rsidRPr="00331929">
        <w:rPr>
          <w:rFonts w:ascii="Times New Roman" w:hAnsi="Times New Roman" w:cs="Times New Roman"/>
          <w:lang w:val="es-AR"/>
        </w:rPr>
        <w:t xml:space="preserve"> como mencionamos precedentemente </w:t>
      </w:r>
      <w:r w:rsidR="00673CB3" w:rsidRPr="00331929">
        <w:rPr>
          <w:rFonts w:ascii="Times New Roman" w:hAnsi="Times New Roman" w:cs="Times New Roman"/>
          <w:lang w:val="es-AR"/>
        </w:rPr>
        <w:t>y eliminando superficie boscosa</w:t>
      </w:r>
      <w:r w:rsidR="00452966" w:rsidRPr="00331929">
        <w:rPr>
          <w:rStyle w:val="Refdenotaalpie"/>
          <w:rFonts w:ascii="Times New Roman" w:hAnsi="Times New Roman" w:cs="Times New Roman"/>
          <w:lang w:val="es-AR"/>
        </w:rPr>
        <w:footnoteReference w:id="7"/>
      </w:r>
      <w:r w:rsidR="007A1FB1" w:rsidRPr="00331929">
        <w:rPr>
          <w:rFonts w:ascii="Times New Roman" w:hAnsi="Times New Roman" w:cs="Times New Roman"/>
          <w:lang w:val="es-AR"/>
        </w:rPr>
        <w:t xml:space="preserve">, lo que </w:t>
      </w:r>
      <w:r w:rsidR="00452966" w:rsidRPr="00331929">
        <w:rPr>
          <w:rFonts w:ascii="Times New Roman" w:hAnsi="Times New Roman" w:cs="Times New Roman"/>
          <w:lang w:val="es-AR"/>
        </w:rPr>
        <w:t>genera graves problemas ambientales</w:t>
      </w:r>
      <w:r w:rsidR="00A63796" w:rsidRPr="00331929">
        <w:rPr>
          <w:rFonts w:ascii="Times New Roman" w:hAnsi="Times New Roman" w:cs="Times New Roman"/>
          <w:lang w:val="es-AR"/>
        </w:rPr>
        <w:t xml:space="preserve">, </w:t>
      </w:r>
      <w:r w:rsidR="00673CB3" w:rsidRPr="00331929">
        <w:rPr>
          <w:rFonts w:ascii="Times New Roman" w:hAnsi="Times New Roman" w:cs="Times New Roman"/>
          <w:lang w:val="es-AR"/>
        </w:rPr>
        <w:t>sociales</w:t>
      </w:r>
      <w:r w:rsidR="00A63796" w:rsidRPr="00331929">
        <w:rPr>
          <w:rFonts w:ascii="Times New Roman" w:hAnsi="Times New Roman" w:cs="Times New Roman"/>
          <w:lang w:val="es-AR"/>
        </w:rPr>
        <w:t xml:space="preserve"> y riegos sanitarios por empleo de agroquímicos.</w:t>
      </w:r>
      <w:r w:rsidR="00673CB3" w:rsidRPr="00331929">
        <w:rPr>
          <w:rFonts w:ascii="Times New Roman" w:hAnsi="Times New Roman" w:cs="Times New Roman"/>
          <w:b/>
          <w:lang w:val="es-AR"/>
        </w:rPr>
        <w:t xml:space="preserve"> </w:t>
      </w:r>
    </w:p>
    <w:p w14:paraId="1D3B0346" w14:textId="13C61664" w:rsidR="004E3FB2" w:rsidRPr="00331929" w:rsidRDefault="007E13F6" w:rsidP="00AC03A4">
      <w:pPr>
        <w:spacing w:before="120" w:after="120"/>
        <w:ind w:left="142" w:firstLine="578"/>
        <w:jc w:val="both"/>
        <w:rPr>
          <w:rFonts w:ascii="Times New Roman" w:hAnsi="Times New Roman" w:cs="Times New Roman"/>
          <w:lang w:val="es-AR"/>
        </w:rPr>
      </w:pPr>
      <w:r>
        <w:rPr>
          <w:rFonts w:ascii="Times New Roman" w:hAnsi="Times New Roman" w:cs="Times New Roman"/>
          <w:lang w:val="es-AR"/>
        </w:rPr>
        <w:lastRenderedPageBreak/>
        <w:t>Si comparamos los datos del CNA</w:t>
      </w:r>
      <w:r w:rsidR="00675CAD" w:rsidRPr="00331929">
        <w:rPr>
          <w:rFonts w:ascii="Times New Roman" w:hAnsi="Times New Roman" w:cs="Times New Roman"/>
          <w:lang w:val="es-AR"/>
        </w:rPr>
        <w:t xml:space="preserve"> </w:t>
      </w:r>
      <w:r>
        <w:rPr>
          <w:rFonts w:ascii="Times New Roman" w:hAnsi="Times New Roman" w:cs="Times New Roman"/>
          <w:lang w:val="es-AR"/>
        </w:rPr>
        <w:t xml:space="preserve">2018 </w:t>
      </w:r>
      <w:r w:rsidR="00675CAD" w:rsidRPr="00331929">
        <w:rPr>
          <w:rFonts w:ascii="Times New Roman" w:hAnsi="Times New Roman" w:cs="Times New Roman"/>
          <w:lang w:val="es-AR"/>
        </w:rPr>
        <w:t xml:space="preserve">con los registros de </w:t>
      </w:r>
      <w:r w:rsidR="00782D55" w:rsidRPr="00331929">
        <w:rPr>
          <w:rFonts w:ascii="Times New Roman" w:hAnsi="Times New Roman" w:cs="Times New Roman"/>
          <w:lang w:val="es-AR"/>
        </w:rPr>
        <w:t>la D</w:t>
      </w:r>
      <w:r w:rsidR="007A1FB1" w:rsidRPr="00331929">
        <w:rPr>
          <w:rFonts w:ascii="Times New Roman" w:hAnsi="Times New Roman" w:cs="Times New Roman"/>
          <w:lang w:val="es-AR"/>
        </w:rPr>
        <w:t>irección General de Estadísticas (DGE) de la P</w:t>
      </w:r>
      <w:r w:rsidR="00782D55" w:rsidRPr="00331929">
        <w:rPr>
          <w:rFonts w:ascii="Times New Roman" w:hAnsi="Times New Roman" w:cs="Times New Roman"/>
          <w:lang w:val="es-AR"/>
        </w:rPr>
        <w:t xml:space="preserve">rovincia </w:t>
      </w:r>
      <w:r w:rsidR="007A1FB1" w:rsidRPr="00331929">
        <w:rPr>
          <w:rFonts w:ascii="Times New Roman" w:hAnsi="Times New Roman" w:cs="Times New Roman"/>
          <w:lang w:val="es-AR"/>
        </w:rPr>
        <w:t xml:space="preserve">de Salta </w:t>
      </w:r>
      <w:r w:rsidR="00782D55" w:rsidRPr="00331929">
        <w:rPr>
          <w:rFonts w:ascii="Times New Roman" w:hAnsi="Times New Roman" w:cs="Times New Roman"/>
          <w:lang w:val="es-AR"/>
        </w:rPr>
        <w:t xml:space="preserve">en relación a la superficie </w:t>
      </w:r>
      <w:r w:rsidR="00EA0793" w:rsidRPr="00331929">
        <w:rPr>
          <w:rFonts w:ascii="Times New Roman" w:hAnsi="Times New Roman" w:cs="Times New Roman"/>
          <w:lang w:val="es-AR"/>
        </w:rPr>
        <w:t>sembrada con</w:t>
      </w:r>
      <w:r w:rsidR="007A1FB1" w:rsidRPr="00331929">
        <w:rPr>
          <w:rFonts w:ascii="Times New Roman" w:hAnsi="Times New Roman" w:cs="Times New Roman"/>
          <w:lang w:val="es-AR"/>
        </w:rPr>
        <w:t xml:space="preserve"> </w:t>
      </w:r>
      <w:r w:rsidR="00782D55" w:rsidRPr="00331929">
        <w:rPr>
          <w:rFonts w:ascii="Times New Roman" w:hAnsi="Times New Roman" w:cs="Times New Roman"/>
          <w:lang w:val="es-AR"/>
        </w:rPr>
        <w:t>maíz, poroto y</w:t>
      </w:r>
      <w:r w:rsidR="007A1FB1" w:rsidRPr="00331929">
        <w:rPr>
          <w:rFonts w:ascii="Times New Roman" w:hAnsi="Times New Roman" w:cs="Times New Roman"/>
          <w:lang w:val="es-AR"/>
        </w:rPr>
        <w:t xml:space="preserve"> soja para la campaña 2017/2018</w:t>
      </w:r>
      <w:r w:rsidR="00782D55" w:rsidRPr="00331929">
        <w:rPr>
          <w:rFonts w:ascii="Times New Roman" w:hAnsi="Times New Roman" w:cs="Times New Roman"/>
          <w:lang w:val="es-AR"/>
        </w:rPr>
        <w:t>, nos encontramos con una brecha muy significativa, sobre todo en los dos últimos cultivos</w:t>
      </w:r>
      <w:r w:rsidR="00EA0793" w:rsidRPr="00331929">
        <w:rPr>
          <w:rFonts w:ascii="Times New Roman" w:hAnsi="Times New Roman" w:cs="Times New Roman"/>
          <w:lang w:val="es-AR"/>
        </w:rPr>
        <w:t xml:space="preserve">, situación que nos estaría revelando </w:t>
      </w:r>
      <w:r w:rsidR="007A1FB1" w:rsidRPr="00331929">
        <w:rPr>
          <w:rFonts w:ascii="Times New Roman" w:hAnsi="Times New Roman" w:cs="Times New Roman"/>
          <w:lang w:val="es-AR"/>
        </w:rPr>
        <w:t>un sub</w:t>
      </w:r>
      <w:r w:rsidR="00996816">
        <w:rPr>
          <w:rFonts w:ascii="Times New Roman" w:hAnsi="Times New Roman" w:cs="Times New Roman"/>
          <w:lang w:val="es-AR"/>
        </w:rPr>
        <w:t>-</w:t>
      </w:r>
      <w:r w:rsidR="007A1FB1" w:rsidRPr="00331929">
        <w:rPr>
          <w:rFonts w:ascii="Times New Roman" w:hAnsi="Times New Roman" w:cs="Times New Roman"/>
          <w:lang w:val="es-AR"/>
        </w:rPr>
        <w:t>registro importante en</w:t>
      </w:r>
      <w:r w:rsidR="00EA0793" w:rsidRPr="00331929">
        <w:rPr>
          <w:rFonts w:ascii="Times New Roman" w:hAnsi="Times New Roman" w:cs="Times New Roman"/>
          <w:lang w:val="es-AR"/>
        </w:rPr>
        <w:t xml:space="preserve"> las producción </w:t>
      </w:r>
      <w:r w:rsidR="007A1FB1" w:rsidRPr="00331929">
        <w:rPr>
          <w:rFonts w:ascii="Times New Roman" w:hAnsi="Times New Roman" w:cs="Times New Roman"/>
          <w:lang w:val="es-AR"/>
        </w:rPr>
        <w:t xml:space="preserve">de estos cultivos, </w:t>
      </w:r>
      <w:r>
        <w:rPr>
          <w:rFonts w:ascii="Times New Roman" w:hAnsi="Times New Roman" w:cs="Times New Roman"/>
          <w:lang w:val="es-AR"/>
        </w:rPr>
        <w:t xml:space="preserve">lo </w:t>
      </w:r>
      <w:r w:rsidR="007A1FB1" w:rsidRPr="00331929">
        <w:rPr>
          <w:rFonts w:ascii="Times New Roman" w:hAnsi="Times New Roman" w:cs="Times New Roman"/>
          <w:lang w:val="es-AR"/>
        </w:rPr>
        <w:t xml:space="preserve">que </w:t>
      </w:r>
      <w:r w:rsidR="00CD0613" w:rsidRPr="00331929">
        <w:rPr>
          <w:rFonts w:ascii="Times New Roman" w:hAnsi="Times New Roman" w:cs="Times New Roman"/>
          <w:lang w:val="es-AR"/>
        </w:rPr>
        <w:t xml:space="preserve">se ratifica con la información compartida </w:t>
      </w:r>
      <w:r w:rsidR="00903C6E" w:rsidRPr="00331929">
        <w:rPr>
          <w:rFonts w:ascii="Times New Roman" w:hAnsi="Times New Roman" w:cs="Times New Roman"/>
          <w:lang w:val="es-AR"/>
        </w:rPr>
        <w:t>por supervisore</w:t>
      </w:r>
      <w:r w:rsidR="00460BF1">
        <w:rPr>
          <w:rFonts w:ascii="Times New Roman" w:hAnsi="Times New Roman" w:cs="Times New Roman"/>
          <w:lang w:val="es-AR"/>
        </w:rPr>
        <w:t>s del censo, quienes nos informan sobre</w:t>
      </w:r>
      <w:r w:rsidR="00903C6E" w:rsidRPr="00331929">
        <w:rPr>
          <w:rFonts w:ascii="Times New Roman" w:hAnsi="Times New Roman" w:cs="Times New Roman"/>
          <w:lang w:val="es-AR"/>
        </w:rPr>
        <w:t xml:space="preserve"> la </w:t>
      </w:r>
      <w:r w:rsidR="00460BF1">
        <w:rPr>
          <w:rFonts w:ascii="Times New Roman" w:hAnsi="Times New Roman" w:cs="Times New Roman"/>
          <w:lang w:val="es-AR"/>
        </w:rPr>
        <w:t xml:space="preserve">notable </w:t>
      </w:r>
      <w:r w:rsidR="00903C6E" w:rsidRPr="00331929">
        <w:rPr>
          <w:rFonts w:ascii="Times New Roman" w:hAnsi="Times New Roman" w:cs="Times New Roman"/>
          <w:lang w:val="es-AR"/>
        </w:rPr>
        <w:t xml:space="preserve">resistencia </w:t>
      </w:r>
      <w:r w:rsidR="00460BF1">
        <w:rPr>
          <w:rFonts w:ascii="Times New Roman" w:hAnsi="Times New Roman" w:cs="Times New Roman"/>
          <w:lang w:val="es-AR"/>
        </w:rPr>
        <w:t>que encontraron a nivel de los empresarios del agro para brindar los datos correctamente, en ocasión de ser visitados</w:t>
      </w:r>
      <w:r w:rsidR="00903C6E" w:rsidRPr="00331929">
        <w:rPr>
          <w:rFonts w:ascii="Times New Roman" w:hAnsi="Times New Roman" w:cs="Times New Roman"/>
          <w:lang w:val="es-AR"/>
        </w:rPr>
        <w:t>.</w:t>
      </w:r>
    </w:p>
    <w:p w14:paraId="7BF946DA" w14:textId="1F810939" w:rsidR="00782D55" w:rsidRPr="00331929" w:rsidRDefault="00996816" w:rsidP="006803AD">
      <w:pPr>
        <w:spacing w:before="120" w:after="120"/>
        <w:ind w:left="142" w:firstLine="578"/>
        <w:jc w:val="center"/>
        <w:rPr>
          <w:rFonts w:ascii="Times New Roman" w:hAnsi="Times New Roman" w:cs="Times New Roman"/>
          <w:b/>
          <w:lang w:val="es-AR"/>
        </w:rPr>
      </w:pPr>
      <w:r>
        <w:rPr>
          <w:rFonts w:ascii="Times New Roman" w:hAnsi="Times New Roman" w:cs="Times New Roman"/>
          <w:b/>
          <w:lang w:val="es-AR"/>
        </w:rPr>
        <w:t>Cuadro N°</w:t>
      </w:r>
      <w:r w:rsidR="00AC0523">
        <w:rPr>
          <w:rFonts w:ascii="Times New Roman" w:hAnsi="Times New Roman" w:cs="Times New Roman"/>
          <w:b/>
          <w:lang w:val="es-AR"/>
        </w:rPr>
        <w:t>6:</w:t>
      </w:r>
      <w:r w:rsidR="00782D55" w:rsidRPr="00331929">
        <w:rPr>
          <w:rFonts w:ascii="Times New Roman" w:hAnsi="Times New Roman" w:cs="Times New Roman"/>
          <w:b/>
          <w:lang w:val="es-AR"/>
        </w:rPr>
        <w:t xml:space="preserve"> Superficie </w:t>
      </w:r>
      <w:r w:rsidR="00CB0F49" w:rsidRPr="00331929">
        <w:rPr>
          <w:rFonts w:ascii="Times New Roman" w:hAnsi="Times New Roman" w:cs="Times New Roman"/>
          <w:b/>
          <w:lang w:val="es-AR"/>
        </w:rPr>
        <w:t xml:space="preserve">sembrada </w:t>
      </w:r>
      <w:r w:rsidR="00E32357">
        <w:rPr>
          <w:rFonts w:ascii="Times New Roman" w:hAnsi="Times New Roman" w:cs="Times New Roman"/>
          <w:b/>
          <w:lang w:val="es-AR"/>
        </w:rPr>
        <w:t>(en h</w:t>
      </w:r>
      <w:r w:rsidR="007A1FB1" w:rsidRPr="00331929">
        <w:rPr>
          <w:rFonts w:ascii="Times New Roman" w:hAnsi="Times New Roman" w:cs="Times New Roman"/>
          <w:b/>
          <w:lang w:val="es-AR"/>
        </w:rPr>
        <w:t>as)</w:t>
      </w:r>
      <w:r w:rsidR="00CB0F49" w:rsidRPr="00331929">
        <w:rPr>
          <w:rFonts w:ascii="Times New Roman" w:hAnsi="Times New Roman" w:cs="Times New Roman"/>
          <w:b/>
          <w:lang w:val="es-AR"/>
        </w:rPr>
        <w:t xml:space="preserve"> </w:t>
      </w:r>
      <w:r w:rsidR="007A1FB1" w:rsidRPr="00331929">
        <w:rPr>
          <w:rFonts w:ascii="Times New Roman" w:hAnsi="Times New Roman" w:cs="Times New Roman"/>
          <w:b/>
          <w:lang w:val="es-AR"/>
        </w:rPr>
        <w:t xml:space="preserve">con </w:t>
      </w:r>
      <w:r w:rsidR="00CB0F49" w:rsidRPr="00331929">
        <w:rPr>
          <w:rFonts w:ascii="Times New Roman" w:hAnsi="Times New Roman" w:cs="Times New Roman"/>
          <w:b/>
          <w:lang w:val="es-AR"/>
        </w:rPr>
        <w:t>Maíz, Soja y Poroto</w:t>
      </w:r>
      <w:r w:rsidR="007A1FB1" w:rsidRPr="00331929">
        <w:rPr>
          <w:rFonts w:ascii="Times New Roman" w:hAnsi="Times New Roman" w:cs="Times New Roman"/>
          <w:b/>
          <w:lang w:val="es-AR"/>
        </w:rPr>
        <w:t>.</w:t>
      </w:r>
      <w:r w:rsidR="00CB0F49" w:rsidRPr="00331929">
        <w:rPr>
          <w:rFonts w:ascii="Times New Roman" w:hAnsi="Times New Roman" w:cs="Times New Roman"/>
          <w:b/>
          <w:lang w:val="es-AR"/>
        </w:rPr>
        <w:t xml:space="preserve"> Campaña 2017/2018 según DGE</w:t>
      </w:r>
      <w:r w:rsidR="007A1FB1" w:rsidRPr="00331929">
        <w:rPr>
          <w:rFonts w:ascii="Times New Roman" w:hAnsi="Times New Roman" w:cs="Times New Roman"/>
          <w:b/>
          <w:lang w:val="es-AR"/>
        </w:rPr>
        <w:t xml:space="preserve"> y según CNA 2018</w:t>
      </w:r>
    </w:p>
    <w:tbl>
      <w:tblPr>
        <w:tblStyle w:val="Listamedia2-nfasis1"/>
        <w:tblW w:w="48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565"/>
        <w:gridCol w:w="2066"/>
        <w:gridCol w:w="2066"/>
        <w:gridCol w:w="1957"/>
      </w:tblGrid>
      <w:tr w:rsidR="00460BF1" w:rsidRPr="002015AD" w14:paraId="62018046" w14:textId="77777777" w:rsidTr="00E03645">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498" w:type="pct"/>
            <w:tcBorders>
              <w:top w:val="none" w:sz="0" w:space="0" w:color="auto"/>
              <w:left w:val="none" w:sz="0" w:space="0" w:color="auto"/>
              <w:bottom w:val="none" w:sz="0" w:space="0" w:color="auto"/>
              <w:right w:val="none" w:sz="0" w:space="0" w:color="auto"/>
            </w:tcBorders>
            <w:noWrap/>
          </w:tcPr>
          <w:p w14:paraId="252022C4" w14:textId="77777777" w:rsidR="00460BF1" w:rsidRPr="00331929" w:rsidRDefault="00460BF1" w:rsidP="006803AD">
            <w:pPr>
              <w:jc w:val="center"/>
              <w:rPr>
                <w:rFonts w:ascii="Times New Roman" w:eastAsiaTheme="minorEastAsia" w:hAnsi="Times New Roman" w:cs="Times New Roman"/>
                <w:b/>
                <w:color w:val="auto"/>
                <w:sz w:val="20"/>
                <w:szCs w:val="20"/>
                <w:lang w:val="es-AR"/>
              </w:rPr>
            </w:pPr>
          </w:p>
        </w:tc>
        <w:tc>
          <w:tcPr>
            <w:tcW w:w="921" w:type="pct"/>
            <w:tcBorders>
              <w:top w:val="none" w:sz="0" w:space="0" w:color="auto"/>
              <w:left w:val="none" w:sz="0" w:space="0" w:color="auto"/>
              <w:bottom w:val="none" w:sz="0" w:space="0" w:color="auto"/>
              <w:right w:val="none" w:sz="0" w:space="0" w:color="auto"/>
            </w:tcBorders>
          </w:tcPr>
          <w:p w14:paraId="5CE27F8F" w14:textId="15EBE9A1" w:rsidR="00460BF1" w:rsidRPr="00331929" w:rsidRDefault="00460BF1" w:rsidP="006803AD">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r w:rsidRPr="00331929">
              <w:rPr>
                <w:rFonts w:ascii="Times New Roman" w:eastAsiaTheme="minorEastAsia" w:hAnsi="Times New Roman" w:cs="Times New Roman"/>
                <w:b/>
                <w:color w:val="auto"/>
                <w:sz w:val="20"/>
                <w:szCs w:val="20"/>
                <w:lang w:val="es-ES"/>
              </w:rPr>
              <w:t>Registro DGE</w:t>
            </w:r>
            <w:r>
              <w:rPr>
                <w:rFonts w:ascii="Times New Roman" w:eastAsiaTheme="minorEastAsia" w:hAnsi="Times New Roman" w:cs="Times New Roman"/>
                <w:b/>
                <w:color w:val="auto"/>
                <w:sz w:val="20"/>
                <w:szCs w:val="20"/>
                <w:lang w:val="es-ES"/>
              </w:rPr>
              <w:t xml:space="preserve"> (2017/2018)</w:t>
            </w:r>
          </w:p>
        </w:tc>
        <w:tc>
          <w:tcPr>
            <w:tcW w:w="1215" w:type="pct"/>
            <w:tcBorders>
              <w:top w:val="none" w:sz="0" w:space="0" w:color="auto"/>
              <w:left w:val="none" w:sz="0" w:space="0" w:color="auto"/>
              <w:bottom w:val="none" w:sz="0" w:space="0" w:color="auto"/>
              <w:right w:val="none" w:sz="0" w:space="0" w:color="auto"/>
            </w:tcBorders>
          </w:tcPr>
          <w:p w14:paraId="7844804A" w14:textId="77777777" w:rsidR="00460BF1" w:rsidRPr="00331929" w:rsidRDefault="00361DF3" w:rsidP="006803AD">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lang w:val="es-AR"/>
              </w:rPr>
            </w:pPr>
            <w:r>
              <w:rPr>
                <w:rFonts w:ascii="Times New Roman" w:eastAsiaTheme="minorEastAsia" w:hAnsi="Times New Roman" w:cs="Times New Roman"/>
                <w:b/>
                <w:sz w:val="20"/>
                <w:szCs w:val="20"/>
                <w:lang w:val="es-AR"/>
              </w:rPr>
              <w:t>Registro CNA 2018</w:t>
            </w:r>
          </w:p>
        </w:tc>
        <w:tc>
          <w:tcPr>
            <w:tcW w:w="1215" w:type="pct"/>
            <w:tcBorders>
              <w:top w:val="none" w:sz="0" w:space="0" w:color="auto"/>
              <w:left w:val="none" w:sz="0" w:space="0" w:color="auto"/>
              <w:bottom w:val="none" w:sz="0" w:space="0" w:color="auto"/>
              <w:right w:val="none" w:sz="0" w:space="0" w:color="auto"/>
            </w:tcBorders>
          </w:tcPr>
          <w:p w14:paraId="76FA93EF" w14:textId="77777777" w:rsidR="00460BF1" w:rsidRPr="00331929" w:rsidRDefault="00460BF1" w:rsidP="006803AD">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lang w:val="es-AR"/>
              </w:rPr>
            </w:pPr>
            <w:r w:rsidRPr="00331929">
              <w:rPr>
                <w:rFonts w:ascii="Times New Roman" w:eastAsiaTheme="minorEastAsia" w:hAnsi="Times New Roman" w:cs="Times New Roman"/>
                <w:b/>
                <w:color w:val="auto"/>
                <w:sz w:val="20"/>
                <w:szCs w:val="20"/>
                <w:lang w:val="es-AR"/>
              </w:rPr>
              <w:t>Diferencia en has con CNA 2018</w:t>
            </w:r>
          </w:p>
        </w:tc>
        <w:tc>
          <w:tcPr>
            <w:tcW w:w="1152" w:type="pct"/>
            <w:tcBorders>
              <w:top w:val="none" w:sz="0" w:space="0" w:color="auto"/>
              <w:left w:val="none" w:sz="0" w:space="0" w:color="auto"/>
              <w:bottom w:val="none" w:sz="0" w:space="0" w:color="auto"/>
              <w:right w:val="none" w:sz="0" w:space="0" w:color="auto"/>
            </w:tcBorders>
          </w:tcPr>
          <w:p w14:paraId="060A3E2D" w14:textId="166E94D7" w:rsidR="00460BF1" w:rsidRPr="00331929" w:rsidRDefault="00460BF1" w:rsidP="006803AD">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lang w:val="es-ES"/>
              </w:rPr>
            </w:pPr>
            <w:r w:rsidRPr="00331929">
              <w:rPr>
                <w:rFonts w:ascii="Times New Roman" w:eastAsiaTheme="minorEastAsia" w:hAnsi="Times New Roman" w:cs="Times New Roman"/>
                <w:b/>
                <w:color w:val="auto"/>
                <w:sz w:val="20"/>
                <w:szCs w:val="20"/>
                <w:lang w:val="es-ES"/>
              </w:rPr>
              <w:t>Diferencia en</w:t>
            </w:r>
          </w:p>
          <w:p w14:paraId="51FFEBAF" w14:textId="77777777" w:rsidR="00460BF1" w:rsidRPr="000E70A8" w:rsidRDefault="00460BF1" w:rsidP="006803AD">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lang w:val="es-ES"/>
              </w:rPr>
            </w:pPr>
            <w:r w:rsidRPr="00331929">
              <w:rPr>
                <w:rFonts w:ascii="Times New Roman" w:eastAsiaTheme="minorEastAsia" w:hAnsi="Times New Roman" w:cs="Times New Roman"/>
                <w:b/>
                <w:color w:val="auto"/>
                <w:sz w:val="20"/>
                <w:szCs w:val="20"/>
                <w:lang w:val="es-ES"/>
              </w:rPr>
              <w:t>Porcentaje</w:t>
            </w:r>
            <w:r w:rsidR="00E03645">
              <w:rPr>
                <w:rFonts w:ascii="Times New Roman" w:eastAsiaTheme="minorEastAsia" w:hAnsi="Times New Roman" w:cs="Times New Roman"/>
                <w:b/>
                <w:color w:val="auto"/>
                <w:sz w:val="20"/>
                <w:szCs w:val="20"/>
                <w:lang w:val="es-ES"/>
              </w:rPr>
              <w:t xml:space="preserve"> respecto a CNA 2018</w:t>
            </w:r>
          </w:p>
        </w:tc>
      </w:tr>
      <w:tr w:rsidR="00460BF1" w:rsidRPr="00331929" w14:paraId="3ADD3B9E" w14:textId="77777777" w:rsidTr="00E036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8" w:type="pct"/>
            <w:tcBorders>
              <w:top w:val="none" w:sz="0" w:space="0" w:color="auto"/>
              <w:left w:val="none" w:sz="0" w:space="0" w:color="auto"/>
              <w:bottom w:val="none" w:sz="0" w:space="0" w:color="auto"/>
              <w:right w:val="none" w:sz="0" w:space="0" w:color="auto"/>
            </w:tcBorders>
            <w:noWrap/>
          </w:tcPr>
          <w:p w14:paraId="6EA2E640" w14:textId="2B50BD4B" w:rsidR="00460BF1" w:rsidRPr="00331929" w:rsidRDefault="00460BF1" w:rsidP="006803AD">
            <w:pPr>
              <w:jc w:val="center"/>
              <w:rPr>
                <w:rFonts w:ascii="Times New Roman" w:eastAsiaTheme="minorEastAsia" w:hAnsi="Times New Roman" w:cs="Times New Roman"/>
                <w:b/>
                <w:color w:val="auto"/>
                <w:sz w:val="20"/>
                <w:szCs w:val="20"/>
              </w:rPr>
            </w:pPr>
            <w:r w:rsidRPr="00331929">
              <w:rPr>
                <w:rFonts w:ascii="Times New Roman" w:eastAsiaTheme="minorEastAsia" w:hAnsi="Times New Roman" w:cs="Times New Roman"/>
                <w:b/>
                <w:color w:val="auto"/>
                <w:sz w:val="20"/>
                <w:szCs w:val="20"/>
                <w:lang w:val="es-ES"/>
              </w:rPr>
              <w:t>Maíz</w:t>
            </w:r>
          </w:p>
        </w:tc>
        <w:tc>
          <w:tcPr>
            <w:tcW w:w="921" w:type="pct"/>
            <w:tcBorders>
              <w:top w:val="none" w:sz="0" w:space="0" w:color="auto"/>
              <w:left w:val="none" w:sz="0" w:space="0" w:color="auto"/>
              <w:bottom w:val="none" w:sz="0" w:space="0" w:color="auto"/>
              <w:right w:val="none" w:sz="0" w:space="0" w:color="auto"/>
            </w:tcBorders>
          </w:tcPr>
          <w:p w14:paraId="7A6829DF" w14:textId="537AC122" w:rsidR="00460BF1" w:rsidRPr="00331929" w:rsidRDefault="00460BF1" w:rsidP="00996816">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0"/>
                <w:szCs w:val="20"/>
              </w:rPr>
            </w:pPr>
            <w:r w:rsidRPr="00331929">
              <w:rPr>
                <w:rFonts w:ascii="Times New Roman" w:eastAsiaTheme="minorEastAsia" w:hAnsi="Times New Roman" w:cs="Times New Roman"/>
                <w:color w:val="auto"/>
                <w:sz w:val="20"/>
                <w:szCs w:val="20"/>
                <w:lang w:val="es-ES"/>
              </w:rPr>
              <w:t>273.200</w:t>
            </w:r>
            <w:r>
              <w:rPr>
                <w:rFonts w:ascii="Times New Roman" w:eastAsiaTheme="minorEastAsia" w:hAnsi="Times New Roman" w:cs="Times New Roman"/>
                <w:color w:val="auto"/>
                <w:sz w:val="20"/>
                <w:szCs w:val="20"/>
                <w:lang w:val="es-ES"/>
              </w:rPr>
              <w:t>,00</w:t>
            </w:r>
          </w:p>
        </w:tc>
        <w:tc>
          <w:tcPr>
            <w:tcW w:w="1215" w:type="pct"/>
            <w:tcBorders>
              <w:top w:val="none" w:sz="0" w:space="0" w:color="auto"/>
              <w:left w:val="none" w:sz="0" w:space="0" w:color="auto"/>
              <w:bottom w:val="none" w:sz="0" w:space="0" w:color="auto"/>
              <w:right w:val="none" w:sz="0" w:space="0" w:color="auto"/>
            </w:tcBorders>
          </w:tcPr>
          <w:p w14:paraId="091B3D56" w14:textId="77777777" w:rsidR="00460BF1" w:rsidRPr="00331929" w:rsidRDefault="00361DF3" w:rsidP="00996816">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Pr>
                <w:rFonts w:ascii="Times New Roman" w:eastAsiaTheme="minorEastAsia" w:hAnsi="Times New Roman" w:cs="Times New Roman"/>
                <w:sz w:val="20"/>
                <w:szCs w:val="20"/>
              </w:rPr>
              <w:t>220.313,50</w:t>
            </w:r>
          </w:p>
        </w:tc>
        <w:tc>
          <w:tcPr>
            <w:tcW w:w="1215" w:type="pct"/>
            <w:tcBorders>
              <w:top w:val="none" w:sz="0" w:space="0" w:color="auto"/>
              <w:left w:val="none" w:sz="0" w:space="0" w:color="auto"/>
              <w:bottom w:val="none" w:sz="0" w:space="0" w:color="auto"/>
              <w:right w:val="none" w:sz="0" w:space="0" w:color="auto"/>
            </w:tcBorders>
          </w:tcPr>
          <w:p w14:paraId="750CC050" w14:textId="77777777" w:rsidR="00460BF1" w:rsidRPr="00331929" w:rsidRDefault="00361DF3" w:rsidP="00996816">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0"/>
                <w:szCs w:val="20"/>
              </w:rPr>
            </w:pPr>
            <w:r>
              <w:rPr>
                <w:rFonts w:ascii="Times New Roman" w:eastAsiaTheme="minorEastAsia" w:hAnsi="Times New Roman" w:cs="Times New Roman"/>
                <w:color w:val="auto"/>
                <w:sz w:val="20"/>
                <w:szCs w:val="20"/>
              </w:rPr>
              <w:t>52.886,50</w:t>
            </w:r>
          </w:p>
        </w:tc>
        <w:tc>
          <w:tcPr>
            <w:tcW w:w="1152" w:type="pct"/>
            <w:tcBorders>
              <w:top w:val="none" w:sz="0" w:space="0" w:color="auto"/>
              <w:left w:val="none" w:sz="0" w:space="0" w:color="auto"/>
              <w:bottom w:val="none" w:sz="0" w:space="0" w:color="auto"/>
            </w:tcBorders>
          </w:tcPr>
          <w:p w14:paraId="053AC67C" w14:textId="77777777" w:rsidR="00460BF1" w:rsidRPr="00331929" w:rsidRDefault="00E03645" w:rsidP="00996816">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0"/>
                <w:szCs w:val="20"/>
              </w:rPr>
            </w:pPr>
            <w:r>
              <w:rPr>
                <w:rFonts w:ascii="Times New Roman" w:eastAsiaTheme="minorEastAsia" w:hAnsi="Times New Roman" w:cs="Times New Roman"/>
                <w:color w:val="auto"/>
                <w:sz w:val="20"/>
                <w:szCs w:val="20"/>
              </w:rPr>
              <w:t>24,00</w:t>
            </w:r>
          </w:p>
        </w:tc>
      </w:tr>
      <w:tr w:rsidR="00460BF1" w:rsidRPr="00331929" w14:paraId="74DB45D5" w14:textId="77777777" w:rsidTr="00E03645">
        <w:trPr>
          <w:jc w:val="center"/>
        </w:trPr>
        <w:tc>
          <w:tcPr>
            <w:cnfStyle w:val="001000000000" w:firstRow="0" w:lastRow="0" w:firstColumn="1" w:lastColumn="0" w:oddVBand="0" w:evenVBand="0" w:oddHBand="0" w:evenHBand="0" w:firstRowFirstColumn="0" w:firstRowLastColumn="0" w:lastRowFirstColumn="0" w:lastRowLastColumn="0"/>
            <w:tcW w:w="498" w:type="pct"/>
            <w:tcBorders>
              <w:top w:val="none" w:sz="0" w:space="0" w:color="auto"/>
              <w:left w:val="none" w:sz="0" w:space="0" w:color="auto"/>
              <w:bottom w:val="none" w:sz="0" w:space="0" w:color="auto"/>
              <w:right w:val="none" w:sz="0" w:space="0" w:color="auto"/>
            </w:tcBorders>
            <w:noWrap/>
          </w:tcPr>
          <w:p w14:paraId="5444FB8E" w14:textId="27501BDB" w:rsidR="00460BF1" w:rsidRPr="00331929" w:rsidRDefault="00460BF1" w:rsidP="006803AD">
            <w:pPr>
              <w:jc w:val="center"/>
              <w:rPr>
                <w:rFonts w:ascii="Times New Roman" w:eastAsiaTheme="minorEastAsia" w:hAnsi="Times New Roman" w:cs="Times New Roman"/>
                <w:b/>
                <w:color w:val="auto"/>
                <w:sz w:val="20"/>
                <w:szCs w:val="20"/>
              </w:rPr>
            </w:pPr>
            <w:r w:rsidRPr="00331929">
              <w:rPr>
                <w:rFonts w:ascii="Times New Roman" w:eastAsiaTheme="minorEastAsia" w:hAnsi="Times New Roman" w:cs="Times New Roman"/>
                <w:b/>
                <w:color w:val="auto"/>
                <w:sz w:val="20"/>
                <w:szCs w:val="20"/>
                <w:lang w:val="es-ES"/>
              </w:rPr>
              <w:t>Soja</w:t>
            </w:r>
          </w:p>
        </w:tc>
        <w:tc>
          <w:tcPr>
            <w:tcW w:w="921" w:type="pct"/>
          </w:tcPr>
          <w:p w14:paraId="75736AA6" w14:textId="77777777" w:rsidR="00460BF1" w:rsidRPr="00331929" w:rsidRDefault="00460BF1" w:rsidP="00996816">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0"/>
                <w:szCs w:val="20"/>
              </w:rPr>
            </w:pPr>
            <w:r w:rsidRPr="00331929">
              <w:rPr>
                <w:rFonts w:ascii="Times New Roman" w:eastAsiaTheme="minorEastAsia" w:hAnsi="Times New Roman" w:cs="Times New Roman"/>
                <w:color w:val="auto"/>
                <w:sz w:val="20"/>
                <w:szCs w:val="20"/>
                <w:lang w:val="es-ES"/>
              </w:rPr>
              <w:t>466.320</w:t>
            </w:r>
            <w:r>
              <w:rPr>
                <w:rFonts w:ascii="Times New Roman" w:eastAsiaTheme="minorEastAsia" w:hAnsi="Times New Roman" w:cs="Times New Roman"/>
                <w:color w:val="auto"/>
                <w:sz w:val="20"/>
                <w:szCs w:val="20"/>
                <w:lang w:val="es-ES"/>
              </w:rPr>
              <w:t>,00</w:t>
            </w:r>
          </w:p>
        </w:tc>
        <w:tc>
          <w:tcPr>
            <w:tcW w:w="1215" w:type="pct"/>
          </w:tcPr>
          <w:p w14:paraId="67CF4A01" w14:textId="77777777" w:rsidR="00460BF1" w:rsidRPr="00331929" w:rsidRDefault="00361DF3" w:rsidP="00996816">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Pr>
                <w:rFonts w:ascii="Times New Roman" w:eastAsiaTheme="minorEastAsia" w:hAnsi="Times New Roman" w:cs="Times New Roman"/>
                <w:sz w:val="20"/>
                <w:szCs w:val="20"/>
              </w:rPr>
              <w:t>260.496,80</w:t>
            </w:r>
          </w:p>
        </w:tc>
        <w:tc>
          <w:tcPr>
            <w:tcW w:w="1215" w:type="pct"/>
          </w:tcPr>
          <w:p w14:paraId="1656F131" w14:textId="77777777" w:rsidR="00460BF1" w:rsidRPr="00331929" w:rsidRDefault="00361DF3" w:rsidP="00996816">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0"/>
                <w:szCs w:val="20"/>
              </w:rPr>
            </w:pPr>
            <w:r>
              <w:rPr>
                <w:rFonts w:ascii="Times New Roman" w:eastAsiaTheme="minorEastAsia" w:hAnsi="Times New Roman" w:cs="Times New Roman"/>
                <w:color w:val="auto"/>
                <w:sz w:val="20"/>
                <w:szCs w:val="20"/>
              </w:rPr>
              <w:t>265.823,20</w:t>
            </w:r>
          </w:p>
        </w:tc>
        <w:tc>
          <w:tcPr>
            <w:tcW w:w="1152" w:type="pct"/>
          </w:tcPr>
          <w:p w14:paraId="206F9CB3" w14:textId="77777777" w:rsidR="00460BF1" w:rsidRPr="00331929" w:rsidRDefault="00E03645" w:rsidP="00996816">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0"/>
                <w:szCs w:val="20"/>
              </w:rPr>
            </w:pPr>
            <w:r>
              <w:rPr>
                <w:rFonts w:ascii="Times New Roman" w:eastAsiaTheme="minorEastAsia" w:hAnsi="Times New Roman" w:cs="Times New Roman"/>
                <w:color w:val="auto"/>
                <w:sz w:val="20"/>
                <w:szCs w:val="20"/>
              </w:rPr>
              <w:t>102,04</w:t>
            </w:r>
          </w:p>
        </w:tc>
      </w:tr>
      <w:tr w:rsidR="00460BF1" w:rsidRPr="00331929" w14:paraId="42326EB1" w14:textId="77777777" w:rsidTr="00E036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8" w:type="pct"/>
            <w:tcBorders>
              <w:top w:val="none" w:sz="0" w:space="0" w:color="auto"/>
              <w:left w:val="none" w:sz="0" w:space="0" w:color="auto"/>
              <w:bottom w:val="none" w:sz="0" w:space="0" w:color="auto"/>
              <w:right w:val="none" w:sz="0" w:space="0" w:color="auto"/>
            </w:tcBorders>
            <w:noWrap/>
          </w:tcPr>
          <w:p w14:paraId="1B12EF2C" w14:textId="4749669E" w:rsidR="00460BF1" w:rsidRPr="00331929" w:rsidRDefault="00460BF1" w:rsidP="006803AD">
            <w:pPr>
              <w:jc w:val="center"/>
              <w:rPr>
                <w:rFonts w:ascii="Times New Roman" w:eastAsiaTheme="minorEastAsia" w:hAnsi="Times New Roman" w:cs="Times New Roman"/>
                <w:b/>
                <w:color w:val="auto"/>
                <w:sz w:val="20"/>
                <w:szCs w:val="20"/>
              </w:rPr>
            </w:pPr>
            <w:r w:rsidRPr="00331929">
              <w:rPr>
                <w:rFonts w:ascii="Times New Roman" w:eastAsiaTheme="minorEastAsia" w:hAnsi="Times New Roman" w:cs="Times New Roman"/>
                <w:b/>
                <w:color w:val="auto"/>
                <w:sz w:val="20"/>
                <w:szCs w:val="20"/>
                <w:lang w:val="es-ES"/>
              </w:rPr>
              <w:t>Poroto</w:t>
            </w:r>
          </w:p>
        </w:tc>
        <w:tc>
          <w:tcPr>
            <w:tcW w:w="921" w:type="pct"/>
            <w:tcBorders>
              <w:top w:val="none" w:sz="0" w:space="0" w:color="auto"/>
              <w:left w:val="none" w:sz="0" w:space="0" w:color="auto"/>
              <w:bottom w:val="none" w:sz="0" w:space="0" w:color="auto"/>
              <w:right w:val="none" w:sz="0" w:space="0" w:color="auto"/>
            </w:tcBorders>
          </w:tcPr>
          <w:p w14:paraId="406E28F3" w14:textId="77777777" w:rsidR="00460BF1" w:rsidRPr="00331929" w:rsidRDefault="00460BF1" w:rsidP="00996816">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0"/>
                <w:szCs w:val="20"/>
              </w:rPr>
            </w:pPr>
            <w:r w:rsidRPr="00331929">
              <w:rPr>
                <w:rFonts w:ascii="Times New Roman" w:eastAsiaTheme="minorEastAsia" w:hAnsi="Times New Roman" w:cs="Times New Roman"/>
                <w:color w:val="auto"/>
                <w:sz w:val="20"/>
                <w:szCs w:val="20"/>
                <w:lang w:val="es-ES"/>
              </w:rPr>
              <w:t>314.285</w:t>
            </w:r>
            <w:r>
              <w:rPr>
                <w:rFonts w:ascii="Times New Roman" w:eastAsiaTheme="minorEastAsia" w:hAnsi="Times New Roman" w:cs="Times New Roman"/>
                <w:color w:val="auto"/>
                <w:sz w:val="20"/>
                <w:szCs w:val="20"/>
                <w:lang w:val="es-ES"/>
              </w:rPr>
              <w:t>,00</w:t>
            </w:r>
          </w:p>
        </w:tc>
        <w:tc>
          <w:tcPr>
            <w:tcW w:w="1215" w:type="pct"/>
            <w:tcBorders>
              <w:top w:val="none" w:sz="0" w:space="0" w:color="auto"/>
              <w:left w:val="none" w:sz="0" w:space="0" w:color="auto"/>
              <w:bottom w:val="none" w:sz="0" w:space="0" w:color="auto"/>
              <w:right w:val="none" w:sz="0" w:space="0" w:color="auto"/>
            </w:tcBorders>
          </w:tcPr>
          <w:p w14:paraId="5D25D46F" w14:textId="77777777" w:rsidR="00460BF1" w:rsidRPr="00331929" w:rsidRDefault="00361DF3" w:rsidP="00996816">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lang w:val="es-ES"/>
              </w:rPr>
            </w:pPr>
            <w:r>
              <w:rPr>
                <w:rFonts w:ascii="Times New Roman" w:eastAsiaTheme="minorEastAsia" w:hAnsi="Times New Roman" w:cs="Times New Roman"/>
                <w:sz w:val="20"/>
                <w:szCs w:val="20"/>
                <w:lang w:val="es-ES"/>
              </w:rPr>
              <w:t>157.074,40</w:t>
            </w:r>
          </w:p>
        </w:tc>
        <w:tc>
          <w:tcPr>
            <w:tcW w:w="1215" w:type="pct"/>
            <w:tcBorders>
              <w:top w:val="none" w:sz="0" w:space="0" w:color="auto"/>
              <w:left w:val="none" w:sz="0" w:space="0" w:color="auto"/>
              <w:bottom w:val="none" w:sz="0" w:space="0" w:color="auto"/>
              <w:right w:val="none" w:sz="0" w:space="0" w:color="auto"/>
            </w:tcBorders>
          </w:tcPr>
          <w:p w14:paraId="0F537E38" w14:textId="77777777" w:rsidR="00460BF1" w:rsidRPr="00331929" w:rsidRDefault="00361DF3" w:rsidP="00996816">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0"/>
                <w:szCs w:val="20"/>
              </w:rPr>
            </w:pPr>
            <w:r>
              <w:rPr>
                <w:rFonts w:ascii="Times New Roman" w:eastAsiaTheme="minorEastAsia" w:hAnsi="Times New Roman" w:cs="Times New Roman"/>
                <w:color w:val="auto"/>
                <w:sz w:val="20"/>
                <w:szCs w:val="20"/>
                <w:lang w:val="es-ES"/>
              </w:rPr>
              <w:t>157.210,60</w:t>
            </w:r>
          </w:p>
        </w:tc>
        <w:tc>
          <w:tcPr>
            <w:tcW w:w="1152" w:type="pct"/>
            <w:tcBorders>
              <w:top w:val="none" w:sz="0" w:space="0" w:color="auto"/>
              <w:left w:val="none" w:sz="0" w:space="0" w:color="auto"/>
              <w:bottom w:val="none" w:sz="0" w:space="0" w:color="auto"/>
            </w:tcBorders>
          </w:tcPr>
          <w:p w14:paraId="111DE04C" w14:textId="77777777" w:rsidR="00460BF1" w:rsidRPr="00331929" w:rsidRDefault="00E03645" w:rsidP="00996816">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0"/>
                <w:szCs w:val="20"/>
              </w:rPr>
            </w:pPr>
            <w:r>
              <w:rPr>
                <w:rFonts w:ascii="Times New Roman" w:eastAsiaTheme="minorEastAsia" w:hAnsi="Times New Roman" w:cs="Times New Roman"/>
                <w:color w:val="auto"/>
                <w:sz w:val="20"/>
                <w:szCs w:val="20"/>
              </w:rPr>
              <w:t>100,09</w:t>
            </w:r>
          </w:p>
        </w:tc>
      </w:tr>
    </w:tbl>
    <w:p w14:paraId="23CD6727" w14:textId="77777777" w:rsidR="00BC4A79" w:rsidRPr="00331929" w:rsidRDefault="00C624CA" w:rsidP="006803AD">
      <w:pPr>
        <w:ind w:left="142"/>
        <w:jc w:val="center"/>
        <w:rPr>
          <w:rFonts w:ascii="Times New Roman" w:hAnsi="Times New Roman" w:cs="Times New Roman"/>
          <w:sz w:val="20"/>
          <w:szCs w:val="20"/>
          <w:lang w:val="es-AR"/>
        </w:rPr>
      </w:pPr>
      <w:r w:rsidRPr="00331929">
        <w:rPr>
          <w:rFonts w:ascii="Times New Roman" w:hAnsi="Times New Roman" w:cs="Times New Roman"/>
          <w:sz w:val="20"/>
          <w:szCs w:val="20"/>
          <w:lang w:val="es-AR"/>
        </w:rPr>
        <w:t>Fuente: Elaboración propia en base a INDEC CNA-18 (res</w:t>
      </w:r>
      <w:r w:rsidR="00EF35A6" w:rsidRPr="00331929">
        <w:rPr>
          <w:rFonts w:ascii="Times New Roman" w:hAnsi="Times New Roman" w:cs="Times New Roman"/>
          <w:sz w:val="20"/>
          <w:szCs w:val="20"/>
          <w:lang w:val="es-AR"/>
        </w:rPr>
        <w:t xml:space="preserve">ultados </w:t>
      </w:r>
      <w:r w:rsidRPr="00331929">
        <w:rPr>
          <w:rFonts w:ascii="Times New Roman" w:hAnsi="Times New Roman" w:cs="Times New Roman"/>
          <w:sz w:val="20"/>
          <w:szCs w:val="20"/>
          <w:lang w:val="es-AR"/>
        </w:rPr>
        <w:t>preliminares) y DGE 2018</w:t>
      </w:r>
      <w:r w:rsidR="00EF35A6" w:rsidRPr="00331929">
        <w:rPr>
          <w:rFonts w:ascii="Times New Roman" w:hAnsi="Times New Roman" w:cs="Times New Roman"/>
          <w:sz w:val="20"/>
          <w:szCs w:val="20"/>
          <w:lang w:val="es-AR"/>
        </w:rPr>
        <w:t>.</w:t>
      </w:r>
    </w:p>
    <w:p w14:paraId="19FAF765" w14:textId="025EADB1" w:rsidR="00015F8E" w:rsidRPr="00331929" w:rsidRDefault="00737F25" w:rsidP="00AC03A4">
      <w:pPr>
        <w:spacing w:before="120" w:after="120"/>
        <w:ind w:left="142" w:firstLine="578"/>
        <w:jc w:val="both"/>
        <w:rPr>
          <w:rFonts w:ascii="Times New Roman" w:hAnsi="Times New Roman" w:cs="Times New Roman"/>
          <w:lang w:val="es-ES"/>
        </w:rPr>
      </w:pPr>
      <w:r w:rsidRPr="00331929">
        <w:rPr>
          <w:rFonts w:ascii="Times New Roman" w:hAnsi="Times New Roman" w:cs="Times New Roman"/>
          <w:lang w:val="es-ES"/>
        </w:rPr>
        <w:t>Asimismo</w:t>
      </w:r>
      <w:r w:rsidR="00EF35A6" w:rsidRPr="00331929">
        <w:rPr>
          <w:rFonts w:ascii="Times New Roman" w:hAnsi="Times New Roman" w:cs="Times New Roman"/>
          <w:lang w:val="es-ES"/>
        </w:rPr>
        <w:t>,</w:t>
      </w:r>
      <w:r w:rsidRPr="00331929">
        <w:rPr>
          <w:rFonts w:ascii="Times New Roman" w:hAnsi="Times New Roman" w:cs="Times New Roman"/>
          <w:lang w:val="es-ES"/>
        </w:rPr>
        <w:t xml:space="preserve"> al analizar la información suministrada por la Dirección de Estima</w:t>
      </w:r>
      <w:r w:rsidR="00EF35A6" w:rsidRPr="00331929">
        <w:rPr>
          <w:rFonts w:ascii="Times New Roman" w:hAnsi="Times New Roman" w:cs="Times New Roman"/>
          <w:lang w:val="es-ES"/>
        </w:rPr>
        <w:t xml:space="preserve">ciones Agrícolas de la </w:t>
      </w:r>
      <w:r w:rsidRPr="00331929">
        <w:rPr>
          <w:rFonts w:ascii="Times New Roman" w:hAnsi="Times New Roman" w:cs="Times New Roman"/>
          <w:lang w:val="es-ES"/>
        </w:rPr>
        <w:t>S</w:t>
      </w:r>
      <w:r w:rsidR="00187B58" w:rsidRPr="00331929">
        <w:rPr>
          <w:rFonts w:ascii="Times New Roman" w:hAnsi="Times New Roman" w:cs="Times New Roman"/>
          <w:lang w:val="es-ES"/>
        </w:rPr>
        <w:t>ecretarí</w:t>
      </w:r>
      <w:r w:rsidRPr="00331929">
        <w:rPr>
          <w:rFonts w:ascii="Times New Roman" w:hAnsi="Times New Roman" w:cs="Times New Roman"/>
          <w:lang w:val="es-ES"/>
        </w:rPr>
        <w:t>a de Agricultura, Ganadería y Pesca de la Nación</w:t>
      </w:r>
      <w:r w:rsidR="00EF35A6" w:rsidRPr="00331929">
        <w:rPr>
          <w:rFonts w:ascii="Times New Roman" w:hAnsi="Times New Roman" w:cs="Times New Roman"/>
          <w:lang w:val="es-ES"/>
        </w:rPr>
        <w:t>,</w:t>
      </w:r>
      <w:r w:rsidRPr="00331929">
        <w:rPr>
          <w:rFonts w:ascii="Times New Roman" w:hAnsi="Times New Roman" w:cs="Times New Roman"/>
          <w:lang w:val="es-ES"/>
        </w:rPr>
        <w:t xml:space="preserve"> el c</w:t>
      </w:r>
      <w:r w:rsidR="00E32357">
        <w:rPr>
          <w:rFonts w:ascii="Times New Roman" w:hAnsi="Times New Roman" w:cs="Times New Roman"/>
          <w:lang w:val="es-ES"/>
        </w:rPr>
        <w:t>ultivo de soja pasa de 200.000 h</w:t>
      </w:r>
      <w:r w:rsidRPr="00331929">
        <w:rPr>
          <w:rFonts w:ascii="Times New Roman" w:hAnsi="Times New Roman" w:cs="Times New Roman"/>
          <w:lang w:val="es-ES"/>
        </w:rPr>
        <w:t>as en la campaña 1998/99 a</w:t>
      </w:r>
      <w:r w:rsidR="00187B58" w:rsidRPr="00331929">
        <w:rPr>
          <w:rFonts w:ascii="Times New Roman" w:hAnsi="Times New Roman" w:cs="Times New Roman"/>
          <w:lang w:val="es-ES"/>
        </w:rPr>
        <w:t xml:space="preserve"> </w:t>
      </w:r>
      <w:r w:rsidR="00E32357">
        <w:rPr>
          <w:rFonts w:ascii="Times New Roman" w:hAnsi="Times New Roman" w:cs="Times New Roman"/>
          <w:lang w:val="es-ES"/>
        </w:rPr>
        <w:t>500.000 h</w:t>
      </w:r>
      <w:r w:rsidR="00EF35A6" w:rsidRPr="00331929">
        <w:rPr>
          <w:rFonts w:ascii="Times New Roman" w:hAnsi="Times New Roman" w:cs="Times New Roman"/>
          <w:lang w:val="es-ES"/>
        </w:rPr>
        <w:t>as</w:t>
      </w:r>
      <w:r w:rsidR="00187B58" w:rsidRPr="00331929">
        <w:rPr>
          <w:rFonts w:ascii="Times New Roman" w:hAnsi="Times New Roman" w:cs="Times New Roman"/>
          <w:lang w:val="es-ES"/>
        </w:rPr>
        <w:t xml:space="preserve"> </w:t>
      </w:r>
      <w:r w:rsidR="00EF35A6" w:rsidRPr="00331929">
        <w:rPr>
          <w:rFonts w:ascii="Times New Roman" w:hAnsi="Times New Roman" w:cs="Times New Roman"/>
          <w:lang w:val="es-ES"/>
        </w:rPr>
        <w:t>en</w:t>
      </w:r>
      <w:r w:rsidR="00187B58" w:rsidRPr="00331929">
        <w:rPr>
          <w:rFonts w:ascii="Times New Roman" w:hAnsi="Times New Roman" w:cs="Times New Roman"/>
          <w:lang w:val="es-ES"/>
        </w:rPr>
        <w:t xml:space="preserve"> las últimas campañas</w:t>
      </w:r>
      <w:r w:rsidR="00EF35A6" w:rsidRPr="00331929">
        <w:rPr>
          <w:rFonts w:ascii="Times New Roman" w:hAnsi="Times New Roman" w:cs="Times New Roman"/>
          <w:lang w:val="es-ES"/>
        </w:rPr>
        <w:t>. D</w:t>
      </w:r>
      <w:r w:rsidR="00187B58" w:rsidRPr="00331929">
        <w:rPr>
          <w:rFonts w:ascii="Times New Roman" w:hAnsi="Times New Roman" w:cs="Times New Roman"/>
          <w:lang w:val="es-ES"/>
        </w:rPr>
        <w:t xml:space="preserve">e esta manera </w:t>
      </w:r>
      <w:r w:rsidR="00EF35A6" w:rsidRPr="00331929">
        <w:rPr>
          <w:rFonts w:ascii="Times New Roman" w:hAnsi="Times New Roman" w:cs="Times New Roman"/>
          <w:lang w:val="es-ES"/>
        </w:rPr>
        <w:t>se constata que la soja pasó</w:t>
      </w:r>
      <w:r w:rsidR="00187B58" w:rsidRPr="00331929">
        <w:rPr>
          <w:rFonts w:ascii="Times New Roman" w:hAnsi="Times New Roman" w:cs="Times New Roman"/>
          <w:lang w:val="es-ES"/>
        </w:rPr>
        <w:t xml:space="preserve"> </w:t>
      </w:r>
      <w:r w:rsidRPr="00331929">
        <w:rPr>
          <w:rFonts w:ascii="Times New Roman" w:hAnsi="Times New Roman" w:cs="Times New Roman"/>
          <w:lang w:val="es-ES"/>
        </w:rPr>
        <w:t>a ser el cultivo principal en la provincia</w:t>
      </w:r>
      <w:r w:rsidR="00187B58" w:rsidRPr="00331929">
        <w:rPr>
          <w:rFonts w:ascii="Times New Roman" w:hAnsi="Times New Roman" w:cs="Times New Roman"/>
          <w:lang w:val="es-ES"/>
        </w:rPr>
        <w:t>; situación que no se encuentra ref</w:t>
      </w:r>
      <w:r w:rsidR="00EF35A6" w:rsidRPr="00331929">
        <w:rPr>
          <w:rFonts w:ascii="Times New Roman" w:hAnsi="Times New Roman" w:cs="Times New Roman"/>
          <w:lang w:val="es-ES"/>
        </w:rPr>
        <w:t>lejada por el relevamiento del C</w:t>
      </w:r>
      <w:r w:rsidR="00187B58" w:rsidRPr="00331929">
        <w:rPr>
          <w:rFonts w:ascii="Times New Roman" w:hAnsi="Times New Roman" w:cs="Times New Roman"/>
          <w:lang w:val="es-ES"/>
        </w:rPr>
        <w:t>enso 2018.</w:t>
      </w:r>
    </w:p>
    <w:p w14:paraId="4BF1A852" w14:textId="77777777" w:rsidR="00F627D8" w:rsidRPr="00331929" w:rsidRDefault="006C5F8E" w:rsidP="00AC03A4">
      <w:pPr>
        <w:spacing w:before="120" w:after="120"/>
        <w:ind w:left="142"/>
        <w:jc w:val="both"/>
        <w:rPr>
          <w:rFonts w:ascii="Times New Roman" w:hAnsi="Times New Roman" w:cs="Times New Roman"/>
          <w:b/>
          <w:lang w:val="es-AR"/>
        </w:rPr>
      </w:pPr>
      <w:r w:rsidRPr="00331929">
        <w:rPr>
          <w:rFonts w:ascii="Times New Roman" w:hAnsi="Times New Roman" w:cs="Times New Roman"/>
          <w:b/>
          <w:lang w:val="es-AR"/>
        </w:rPr>
        <w:t xml:space="preserve">La actividad ganadera </w:t>
      </w:r>
    </w:p>
    <w:p w14:paraId="10D32856" w14:textId="265045F5" w:rsidR="00D47A4C" w:rsidRPr="00331929" w:rsidRDefault="00D47A4C" w:rsidP="006803AD">
      <w:pPr>
        <w:jc w:val="center"/>
        <w:rPr>
          <w:rFonts w:ascii="Times New Roman" w:hAnsi="Times New Roman" w:cs="Times New Roman"/>
          <w:b/>
          <w:lang w:val="es-ES"/>
        </w:rPr>
      </w:pPr>
      <w:r w:rsidRPr="00331929">
        <w:rPr>
          <w:rFonts w:ascii="Times New Roman" w:hAnsi="Times New Roman" w:cs="Times New Roman"/>
          <w:b/>
          <w:lang w:val="es-ES"/>
        </w:rPr>
        <w:t>Cuadro N°</w:t>
      </w:r>
      <w:r w:rsidR="00AC0523">
        <w:rPr>
          <w:rFonts w:ascii="Times New Roman" w:hAnsi="Times New Roman" w:cs="Times New Roman"/>
          <w:b/>
          <w:lang w:val="es-ES"/>
        </w:rPr>
        <w:t>7</w:t>
      </w:r>
      <w:r w:rsidR="00EF35A6" w:rsidRPr="00331929">
        <w:rPr>
          <w:rFonts w:ascii="Times New Roman" w:hAnsi="Times New Roman" w:cs="Times New Roman"/>
          <w:b/>
          <w:lang w:val="es-ES"/>
        </w:rPr>
        <w:t xml:space="preserve">: </w:t>
      </w:r>
      <w:r w:rsidR="009C1915">
        <w:rPr>
          <w:rFonts w:ascii="Times New Roman" w:hAnsi="Times New Roman" w:cs="Times New Roman"/>
          <w:b/>
          <w:lang w:val="es-ES"/>
        </w:rPr>
        <w:t>EAPs</w:t>
      </w:r>
      <w:r w:rsidR="00996816">
        <w:rPr>
          <w:rFonts w:ascii="Times New Roman" w:hAnsi="Times New Roman" w:cs="Times New Roman"/>
          <w:b/>
          <w:lang w:val="es-ES"/>
        </w:rPr>
        <w:t xml:space="preserve"> ganaderas y cabezas</w:t>
      </w:r>
      <w:r w:rsidR="00996816" w:rsidRPr="00331929">
        <w:rPr>
          <w:rFonts w:ascii="Times New Roman" w:hAnsi="Times New Roman" w:cs="Times New Roman"/>
          <w:b/>
          <w:lang w:val="es-ES"/>
        </w:rPr>
        <w:t xml:space="preserve"> </w:t>
      </w:r>
      <w:r w:rsidR="00EF35A6" w:rsidRPr="00331929">
        <w:rPr>
          <w:rFonts w:ascii="Times New Roman" w:hAnsi="Times New Roman" w:cs="Times New Roman"/>
          <w:b/>
          <w:lang w:val="es-ES"/>
        </w:rPr>
        <w:t>según especie</w:t>
      </w:r>
      <w:r w:rsidR="00996816">
        <w:rPr>
          <w:rFonts w:ascii="Times New Roman" w:hAnsi="Times New Roman" w:cs="Times New Roman"/>
          <w:b/>
          <w:lang w:val="es-ES"/>
        </w:rPr>
        <w:t xml:space="preserve"> (</w:t>
      </w:r>
      <w:r w:rsidR="009C1915">
        <w:rPr>
          <w:rFonts w:ascii="Times New Roman" w:hAnsi="Times New Roman" w:cs="Times New Roman"/>
          <w:b/>
          <w:lang w:val="es-ES"/>
        </w:rPr>
        <w:t xml:space="preserve">Datos de </w:t>
      </w:r>
      <w:r w:rsidR="00182CDC">
        <w:rPr>
          <w:rFonts w:ascii="Times New Roman" w:hAnsi="Times New Roman" w:cs="Times New Roman"/>
          <w:b/>
          <w:lang w:val="es-ES"/>
        </w:rPr>
        <w:t>CNA-</w:t>
      </w:r>
      <w:r w:rsidRPr="00331929">
        <w:rPr>
          <w:rFonts w:ascii="Times New Roman" w:hAnsi="Times New Roman" w:cs="Times New Roman"/>
          <w:b/>
          <w:lang w:val="es-ES"/>
        </w:rPr>
        <w:t>02</w:t>
      </w:r>
      <w:r w:rsidR="00996816">
        <w:rPr>
          <w:rFonts w:ascii="Times New Roman" w:hAnsi="Times New Roman" w:cs="Times New Roman"/>
          <w:b/>
          <w:lang w:val="es-ES"/>
        </w:rPr>
        <w:t xml:space="preserve"> y CNA</w:t>
      </w:r>
      <w:r w:rsidR="00182CDC">
        <w:rPr>
          <w:rFonts w:ascii="Times New Roman" w:hAnsi="Times New Roman" w:cs="Times New Roman"/>
          <w:b/>
          <w:lang w:val="es-ES"/>
        </w:rPr>
        <w:t>-18)</w:t>
      </w:r>
    </w:p>
    <w:tbl>
      <w:tblPr>
        <w:tblStyle w:val="Tablaconcuadrcula"/>
        <w:tblW w:w="0" w:type="auto"/>
        <w:tblLook w:val="04A0" w:firstRow="1" w:lastRow="0" w:firstColumn="1" w:lastColumn="0" w:noHBand="0" w:noVBand="1"/>
      </w:tblPr>
      <w:tblGrid>
        <w:gridCol w:w="1156"/>
        <w:gridCol w:w="1467"/>
        <w:gridCol w:w="1254"/>
        <w:gridCol w:w="1219"/>
        <w:gridCol w:w="1254"/>
        <w:gridCol w:w="1219"/>
        <w:gridCol w:w="1259"/>
      </w:tblGrid>
      <w:tr w:rsidR="008162B8" w:rsidRPr="006803AD" w14:paraId="32F9142C" w14:textId="77777777" w:rsidTr="001362C6">
        <w:trPr>
          <w:trHeight w:val="238"/>
        </w:trPr>
        <w:tc>
          <w:tcPr>
            <w:tcW w:w="988" w:type="dxa"/>
            <w:tcBorders>
              <w:top w:val="single" w:sz="4" w:space="0" w:color="auto"/>
              <w:left w:val="single" w:sz="4" w:space="0" w:color="auto"/>
              <w:bottom w:val="single" w:sz="4" w:space="0" w:color="auto"/>
              <w:right w:val="single" w:sz="4" w:space="0" w:color="auto"/>
            </w:tcBorders>
            <w:hideMark/>
          </w:tcPr>
          <w:p w14:paraId="0FBF16DB" w14:textId="77777777" w:rsidR="00D47A4C" w:rsidRPr="006803AD" w:rsidRDefault="00D47A4C" w:rsidP="006803AD">
            <w:pPr>
              <w:ind w:left="-5"/>
              <w:jc w:val="center"/>
              <w:rPr>
                <w:rFonts w:ascii="Times New Roman" w:hAnsi="Times New Roman" w:cs="Times New Roman"/>
                <w:b/>
                <w:sz w:val="20"/>
                <w:szCs w:val="20"/>
                <w:lang w:val="es-ES"/>
              </w:rPr>
            </w:pPr>
            <w:r w:rsidRPr="006803AD">
              <w:rPr>
                <w:rFonts w:ascii="Times New Roman" w:hAnsi="Times New Roman" w:cs="Times New Roman"/>
                <w:b/>
                <w:sz w:val="20"/>
                <w:szCs w:val="20"/>
                <w:lang w:val="es-ES"/>
              </w:rPr>
              <w:t>Actividad</w:t>
            </w:r>
          </w:p>
          <w:p w14:paraId="30DC7819" w14:textId="77777777" w:rsidR="00D47A4C" w:rsidRPr="006803AD" w:rsidRDefault="00D47A4C" w:rsidP="006803AD">
            <w:pPr>
              <w:ind w:left="-5"/>
              <w:jc w:val="center"/>
              <w:rPr>
                <w:rFonts w:ascii="Times New Roman" w:hAnsi="Times New Roman" w:cs="Times New Roman"/>
                <w:b/>
                <w:sz w:val="20"/>
                <w:szCs w:val="20"/>
                <w:lang w:val="es-ES"/>
              </w:rPr>
            </w:pPr>
            <w:r w:rsidRPr="006803AD">
              <w:rPr>
                <w:rFonts w:ascii="Times New Roman" w:hAnsi="Times New Roman" w:cs="Times New Roman"/>
                <w:b/>
                <w:sz w:val="20"/>
                <w:szCs w:val="20"/>
                <w:lang w:val="es-ES"/>
              </w:rPr>
              <w:t>Productiva</w:t>
            </w:r>
          </w:p>
        </w:tc>
        <w:tc>
          <w:tcPr>
            <w:tcW w:w="2790" w:type="dxa"/>
            <w:gridSpan w:val="2"/>
            <w:tcBorders>
              <w:top w:val="single" w:sz="4" w:space="0" w:color="auto"/>
              <w:left w:val="single" w:sz="4" w:space="0" w:color="auto"/>
              <w:bottom w:val="single" w:sz="4" w:space="0" w:color="auto"/>
              <w:right w:val="single" w:sz="4" w:space="0" w:color="auto"/>
            </w:tcBorders>
          </w:tcPr>
          <w:p w14:paraId="14F814D3" w14:textId="77777777" w:rsidR="00D47A4C" w:rsidRPr="006803AD" w:rsidRDefault="001362C6" w:rsidP="006803AD">
            <w:pPr>
              <w:ind w:left="607"/>
              <w:jc w:val="center"/>
              <w:rPr>
                <w:rFonts w:ascii="Times New Roman" w:hAnsi="Times New Roman" w:cs="Times New Roman"/>
                <w:b/>
                <w:sz w:val="20"/>
                <w:szCs w:val="20"/>
                <w:lang w:val="es-ES"/>
              </w:rPr>
            </w:pPr>
            <w:r w:rsidRPr="006803AD">
              <w:rPr>
                <w:rFonts w:ascii="Times New Roman" w:hAnsi="Times New Roman" w:cs="Times New Roman"/>
                <w:b/>
                <w:sz w:val="20"/>
                <w:szCs w:val="20"/>
                <w:lang w:val="es-ES"/>
              </w:rPr>
              <w:t>CNA 2002</w:t>
            </w:r>
          </w:p>
        </w:tc>
        <w:tc>
          <w:tcPr>
            <w:tcW w:w="2522" w:type="dxa"/>
            <w:gridSpan w:val="2"/>
            <w:tcBorders>
              <w:top w:val="single" w:sz="4" w:space="0" w:color="auto"/>
              <w:left w:val="single" w:sz="4" w:space="0" w:color="auto"/>
              <w:bottom w:val="single" w:sz="4" w:space="0" w:color="auto"/>
              <w:right w:val="single" w:sz="4" w:space="0" w:color="auto"/>
            </w:tcBorders>
          </w:tcPr>
          <w:p w14:paraId="0C43AFE8" w14:textId="77777777" w:rsidR="00D47A4C" w:rsidRPr="006803AD" w:rsidRDefault="001362C6" w:rsidP="006803AD">
            <w:pPr>
              <w:jc w:val="center"/>
              <w:rPr>
                <w:rFonts w:ascii="Times New Roman" w:hAnsi="Times New Roman" w:cs="Times New Roman"/>
                <w:b/>
                <w:sz w:val="20"/>
                <w:szCs w:val="20"/>
                <w:lang w:val="es-ES"/>
              </w:rPr>
            </w:pPr>
            <w:r w:rsidRPr="006803AD">
              <w:rPr>
                <w:rFonts w:ascii="Times New Roman" w:hAnsi="Times New Roman" w:cs="Times New Roman"/>
                <w:b/>
                <w:sz w:val="20"/>
                <w:szCs w:val="20"/>
                <w:lang w:val="es-ES"/>
              </w:rPr>
              <w:t>CNA 2018</w:t>
            </w:r>
          </w:p>
        </w:tc>
        <w:tc>
          <w:tcPr>
            <w:tcW w:w="2528" w:type="dxa"/>
            <w:gridSpan w:val="2"/>
            <w:tcBorders>
              <w:top w:val="single" w:sz="4" w:space="0" w:color="auto"/>
              <w:left w:val="single" w:sz="4" w:space="0" w:color="auto"/>
              <w:bottom w:val="single" w:sz="4" w:space="0" w:color="auto"/>
              <w:right w:val="single" w:sz="4" w:space="0" w:color="auto"/>
            </w:tcBorders>
          </w:tcPr>
          <w:p w14:paraId="1BC0152D" w14:textId="77777777" w:rsidR="00D47A4C" w:rsidRPr="006803AD" w:rsidRDefault="001362C6" w:rsidP="006803AD">
            <w:pPr>
              <w:ind w:left="447"/>
              <w:jc w:val="center"/>
              <w:rPr>
                <w:rFonts w:ascii="Times New Roman" w:hAnsi="Times New Roman" w:cs="Times New Roman"/>
                <w:b/>
                <w:sz w:val="20"/>
                <w:szCs w:val="20"/>
                <w:lang w:val="es-ES"/>
              </w:rPr>
            </w:pPr>
            <w:r w:rsidRPr="006803AD">
              <w:rPr>
                <w:rFonts w:ascii="Times New Roman" w:hAnsi="Times New Roman" w:cs="Times New Roman"/>
                <w:b/>
                <w:sz w:val="20"/>
                <w:szCs w:val="20"/>
                <w:lang w:val="es-ES"/>
              </w:rPr>
              <w:t>Diferencia</w:t>
            </w:r>
          </w:p>
        </w:tc>
      </w:tr>
      <w:tr w:rsidR="008162B8" w:rsidRPr="006803AD" w14:paraId="7377AB5A" w14:textId="77777777" w:rsidTr="001362C6">
        <w:tc>
          <w:tcPr>
            <w:tcW w:w="988" w:type="dxa"/>
            <w:tcBorders>
              <w:top w:val="single" w:sz="4" w:space="0" w:color="auto"/>
              <w:left w:val="single" w:sz="4" w:space="0" w:color="auto"/>
              <w:bottom w:val="single" w:sz="4" w:space="0" w:color="auto"/>
              <w:right w:val="single" w:sz="4" w:space="0" w:color="auto"/>
            </w:tcBorders>
          </w:tcPr>
          <w:p w14:paraId="1887B800" w14:textId="77777777" w:rsidR="00D47A4C" w:rsidRPr="006803AD" w:rsidRDefault="00D47A4C" w:rsidP="006803AD">
            <w:pPr>
              <w:jc w:val="center"/>
              <w:rPr>
                <w:rFonts w:ascii="Times New Roman" w:hAnsi="Times New Roman" w:cs="Times New Roman"/>
                <w:b/>
                <w:sz w:val="20"/>
                <w:szCs w:val="20"/>
                <w:lang w:val="es-ES"/>
              </w:rPr>
            </w:pPr>
          </w:p>
        </w:tc>
        <w:tc>
          <w:tcPr>
            <w:tcW w:w="1529" w:type="dxa"/>
            <w:tcBorders>
              <w:top w:val="single" w:sz="4" w:space="0" w:color="auto"/>
              <w:left w:val="single" w:sz="4" w:space="0" w:color="auto"/>
              <w:bottom w:val="single" w:sz="4" w:space="0" w:color="auto"/>
              <w:right w:val="single" w:sz="4" w:space="0" w:color="auto"/>
            </w:tcBorders>
            <w:hideMark/>
          </w:tcPr>
          <w:p w14:paraId="29AA8D93" w14:textId="77777777" w:rsidR="00D47A4C" w:rsidRPr="006803AD" w:rsidRDefault="00D47A4C" w:rsidP="006803AD">
            <w:pPr>
              <w:jc w:val="center"/>
              <w:rPr>
                <w:rFonts w:ascii="Times New Roman" w:hAnsi="Times New Roman" w:cs="Times New Roman"/>
                <w:b/>
                <w:sz w:val="20"/>
                <w:szCs w:val="20"/>
                <w:lang w:val="es-ES"/>
              </w:rPr>
            </w:pPr>
            <w:r w:rsidRPr="006803AD">
              <w:rPr>
                <w:rFonts w:ascii="Times New Roman" w:hAnsi="Times New Roman" w:cs="Times New Roman"/>
                <w:b/>
                <w:sz w:val="20"/>
                <w:szCs w:val="20"/>
                <w:lang w:val="es-ES"/>
              </w:rPr>
              <w:t>EAPs</w:t>
            </w:r>
          </w:p>
        </w:tc>
        <w:tc>
          <w:tcPr>
            <w:tcW w:w="1261" w:type="dxa"/>
            <w:tcBorders>
              <w:top w:val="single" w:sz="4" w:space="0" w:color="auto"/>
              <w:left w:val="single" w:sz="4" w:space="0" w:color="auto"/>
              <w:bottom w:val="single" w:sz="4" w:space="0" w:color="auto"/>
              <w:right w:val="single" w:sz="4" w:space="0" w:color="auto"/>
            </w:tcBorders>
            <w:hideMark/>
          </w:tcPr>
          <w:p w14:paraId="0F061560" w14:textId="77777777" w:rsidR="00D47A4C" w:rsidRPr="006803AD" w:rsidRDefault="00D47A4C" w:rsidP="006803AD">
            <w:pPr>
              <w:jc w:val="center"/>
              <w:rPr>
                <w:rFonts w:ascii="Times New Roman" w:hAnsi="Times New Roman" w:cs="Times New Roman"/>
                <w:b/>
                <w:sz w:val="20"/>
                <w:szCs w:val="20"/>
                <w:lang w:val="es-ES"/>
              </w:rPr>
            </w:pPr>
            <w:r w:rsidRPr="006803AD">
              <w:rPr>
                <w:rFonts w:ascii="Times New Roman" w:hAnsi="Times New Roman" w:cs="Times New Roman"/>
                <w:b/>
                <w:sz w:val="20"/>
                <w:szCs w:val="20"/>
                <w:lang w:val="es-ES"/>
              </w:rPr>
              <w:t>CABEZAS</w:t>
            </w:r>
          </w:p>
        </w:tc>
        <w:tc>
          <w:tcPr>
            <w:tcW w:w="1261" w:type="dxa"/>
            <w:tcBorders>
              <w:top w:val="single" w:sz="4" w:space="0" w:color="auto"/>
              <w:left w:val="single" w:sz="4" w:space="0" w:color="auto"/>
              <w:bottom w:val="single" w:sz="4" w:space="0" w:color="auto"/>
              <w:right w:val="single" w:sz="4" w:space="0" w:color="auto"/>
            </w:tcBorders>
            <w:hideMark/>
          </w:tcPr>
          <w:p w14:paraId="776EB699" w14:textId="77777777" w:rsidR="00D47A4C" w:rsidRPr="006803AD" w:rsidRDefault="00D47A4C" w:rsidP="006803AD">
            <w:pPr>
              <w:jc w:val="center"/>
              <w:rPr>
                <w:rFonts w:ascii="Times New Roman" w:hAnsi="Times New Roman" w:cs="Times New Roman"/>
                <w:b/>
                <w:sz w:val="20"/>
                <w:szCs w:val="20"/>
                <w:lang w:val="es-ES"/>
              </w:rPr>
            </w:pPr>
            <w:r w:rsidRPr="006803AD">
              <w:rPr>
                <w:rFonts w:ascii="Times New Roman" w:hAnsi="Times New Roman" w:cs="Times New Roman"/>
                <w:b/>
                <w:sz w:val="20"/>
                <w:szCs w:val="20"/>
                <w:lang w:val="es-ES"/>
              </w:rPr>
              <w:t>EAPs</w:t>
            </w:r>
          </w:p>
        </w:tc>
        <w:tc>
          <w:tcPr>
            <w:tcW w:w="1261" w:type="dxa"/>
            <w:tcBorders>
              <w:top w:val="single" w:sz="4" w:space="0" w:color="auto"/>
              <w:left w:val="single" w:sz="4" w:space="0" w:color="auto"/>
              <w:bottom w:val="single" w:sz="4" w:space="0" w:color="auto"/>
              <w:right w:val="single" w:sz="4" w:space="0" w:color="auto"/>
            </w:tcBorders>
            <w:hideMark/>
          </w:tcPr>
          <w:p w14:paraId="6D600AA8" w14:textId="77777777" w:rsidR="00D47A4C" w:rsidRPr="006803AD" w:rsidRDefault="00D47A4C" w:rsidP="006803AD">
            <w:pPr>
              <w:jc w:val="center"/>
              <w:rPr>
                <w:rFonts w:ascii="Times New Roman" w:hAnsi="Times New Roman" w:cs="Times New Roman"/>
                <w:b/>
                <w:sz w:val="20"/>
                <w:szCs w:val="20"/>
                <w:lang w:val="es-ES"/>
              </w:rPr>
            </w:pPr>
            <w:r w:rsidRPr="006803AD">
              <w:rPr>
                <w:rFonts w:ascii="Times New Roman" w:hAnsi="Times New Roman" w:cs="Times New Roman"/>
                <w:b/>
                <w:sz w:val="20"/>
                <w:szCs w:val="20"/>
                <w:lang w:val="es-ES"/>
              </w:rPr>
              <w:t>CABEZAS</w:t>
            </w:r>
          </w:p>
        </w:tc>
        <w:tc>
          <w:tcPr>
            <w:tcW w:w="1261" w:type="dxa"/>
            <w:tcBorders>
              <w:top w:val="single" w:sz="4" w:space="0" w:color="auto"/>
              <w:left w:val="single" w:sz="4" w:space="0" w:color="auto"/>
              <w:bottom w:val="single" w:sz="4" w:space="0" w:color="auto"/>
              <w:right w:val="single" w:sz="4" w:space="0" w:color="auto"/>
            </w:tcBorders>
            <w:hideMark/>
          </w:tcPr>
          <w:p w14:paraId="1885D1A2" w14:textId="77777777" w:rsidR="00D47A4C" w:rsidRPr="006803AD" w:rsidRDefault="001362C6" w:rsidP="006803AD">
            <w:pPr>
              <w:jc w:val="center"/>
              <w:rPr>
                <w:rFonts w:ascii="Times New Roman" w:hAnsi="Times New Roman" w:cs="Times New Roman"/>
                <w:b/>
                <w:sz w:val="20"/>
                <w:szCs w:val="20"/>
                <w:lang w:val="es-ES"/>
              </w:rPr>
            </w:pPr>
            <w:r w:rsidRPr="006803AD">
              <w:rPr>
                <w:rFonts w:ascii="Times New Roman" w:hAnsi="Times New Roman" w:cs="Times New Roman"/>
                <w:b/>
                <w:sz w:val="20"/>
                <w:szCs w:val="20"/>
                <w:lang w:val="es-ES"/>
              </w:rPr>
              <w:t>E</w:t>
            </w:r>
            <w:r w:rsidR="00D47A4C" w:rsidRPr="006803AD">
              <w:rPr>
                <w:rFonts w:ascii="Times New Roman" w:hAnsi="Times New Roman" w:cs="Times New Roman"/>
                <w:b/>
                <w:sz w:val="20"/>
                <w:szCs w:val="20"/>
                <w:lang w:val="es-ES"/>
              </w:rPr>
              <w:t>APs</w:t>
            </w:r>
          </w:p>
        </w:tc>
        <w:tc>
          <w:tcPr>
            <w:tcW w:w="1267" w:type="dxa"/>
            <w:tcBorders>
              <w:top w:val="single" w:sz="4" w:space="0" w:color="auto"/>
              <w:left w:val="single" w:sz="4" w:space="0" w:color="auto"/>
              <w:bottom w:val="single" w:sz="4" w:space="0" w:color="auto"/>
              <w:right w:val="single" w:sz="4" w:space="0" w:color="auto"/>
            </w:tcBorders>
            <w:hideMark/>
          </w:tcPr>
          <w:p w14:paraId="60C7FE67" w14:textId="77777777" w:rsidR="00D47A4C" w:rsidRPr="006803AD" w:rsidRDefault="00D47A4C" w:rsidP="006803AD">
            <w:pPr>
              <w:jc w:val="center"/>
              <w:rPr>
                <w:rFonts w:ascii="Times New Roman" w:hAnsi="Times New Roman" w:cs="Times New Roman"/>
                <w:b/>
                <w:sz w:val="20"/>
                <w:szCs w:val="20"/>
                <w:lang w:val="es-ES"/>
              </w:rPr>
            </w:pPr>
            <w:r w:rsidRPr="006803AD">
              <w:rPr>
                <w:rFonts w:ascii="Times New Roman" w:hAnsi="Times New Roman" w:cs="Times New Roman"/>
                <w:b/>
                <w:sz w:val="20"/>
                <w:szCs w:val="20"/>
                <w:lang w:val="es-ES"/>
              </w:rPr>
              <w:t>CABEZAS</w:t>
            </w:r>
          </w:p>
        </w:tc>
      </w:tr>
      <w:tr w:rsidR="008162B8" w:rsidRPr="006803AD" w14:paraId="67833B8C" w14:textId="77777777" w:rsidTr="009C1915">
        <w:tc>
          <w:tcPr>
            <w:tcW w:w="98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0F59827" w14:textId="77777777" w:rsidR="00D47A4C" w:rsidRPr="006803AD" w:rsidRDefault="001362C6" w:rsidP="006803AD">
            <w:pPr>
              <w:jc w:val="center"/>
              <w:rPr>
                <w:rFonts w:ascii="Times New Roman" w:hAnsi="Times New Roman" w:cs="Times New Roman"/>
                <w:b/>
                <w:sz w:val="20"/>
                <w:szCs w:val="20"/>
                <w:lang w:val="es-ES"/>
              </w:rPr>
            </w:pPr>
            <w:r w:rsidRPr="006803AD">
              <w:rPr>
                <w:rFonts w:ascii="Times New Roman" w:hAnsi="Times New Roman" w:cs="Times New Roman"/>
                <w:b/>
                <w:sz w:val="20"/>
                <w:szCs w:val="20"/>
                <w:lang w:val="es-ES"/>
              </w:rPr>
              <w:t>Bovinos</w:t>
            </w:r>
          </w:p>
        </w:tc>
        <w:tc>
          <w:tcPr>
            <w:tcW w:w="15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8DADEC4" w14:textId="77777777" w:rsidR="00D47A4C" w:rsidRPr="006803AD" w:rsidRDefault="00D47A4C" w:rsidP="00996816">
            <w:pPr>
              <w:jc w:val="right"/>
              <w:rPr>
                <w:rFonts w:ascii="Times New Roman" w:hAnsi="Times New Roman" w:cs="Times New Roman"/>
                <w:sz w:val="20"/>
                <w:szCs w:val="20"/>
                <w:lang w:val="es-ES"/>
              </w:rPr>
            </w:pPr>
            <w:r w:rsidRPr="006803AD">
              <w:rPr>
                <w:rFonts w:ascii="Times New Roman" w:hAnsi="Times New Roman" w:cs="Times New Roman"/>
                <w:sz w:val="20"/>
                <w:szCs w:val="20"/>
                <w:lang w:val="es-AR"/>
              </w:rPr>
              <w:t>5</w:t>
            </w:r>
            <w:r w:rsidR="001362C6" w:rsidRPr="006803AD">
              <w:rPr>
                <w:rFonts w:ascii="Times New Roman" w:hAnsi="Times New Roman" w:cs="Times New Roman"/>
                <w:sz w:val="20"/>
                <w:szCs w:val="20"/>
                <w:lang w:val="es-AR"/>
              </w:rPr>
              <w:t>.</w:t>
            </w:r>
            <w:r w:rsidRPr="006803AD">
              <w:rPr>
                <w:rFonts w:ascii="Times New Roman" w:hAnsi="Times New Roman" w:cs="Times New Roman"/>
                <w:sz w:val="20"/>
                <w:szCs w:val="20"/>
                <w:lang w:val="es-AR"/>
              </w:rPr>
              <w:t>496</w:t>
            </w:r>
          </w:p>
        </w:tc>
        <w:tc>
          <w:tcPr>
            <w:tcW w:w="126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FA0F3CB" w14:textId="77777777" w:rsidR="00D47A4C" w:rsidRPr="006803AD" w:rsidRDefault="00D47A4C" w:rsidP="00996816">
            <w:pPr>
              <w:jc w:val="right"/>
              <w:rPr>
                <w:rFonts w:ascii="Times New Roman" w:hAnsi="Times New Roman" w:cs="Times New Roman"/>
                <w:sz w:val="20"/>
                <w:szCs w:val="20"/>
                <w:lang w:val="es-ES"/>
              </w:rPr>
            </w:pPr>
            <w:r w:rsidRPr="006803AD">
              <w:rPr>
                <w:rFonts w:ascii="Times New Roman" w:hAnsi="Times New Roman" w:cs="Times New Roman"/>
                <w:sz w:val="20"/>
                <w:szCs w:val="20"/>
                <w:lang w:val="es-AR"/>
              </w:rPr>
              <w:t>493</w:t>
            </w:r>
            <w:r w:rsidR="001362C6" w:rsidRPr="006803AD">
              <w:rPr>
                <w:rFonts w:ascii="Times New Roman" w:hAnsi="Times New Roman" w:cs="Times New Roman"/>
                <w:sz w:val="20"/>
                <w:szCs w:val="20"/>
                <w:lang w:val="es-AR"/>
              </w:rPr>
              <w:t>.</w:t>
            </w:r>
            <w:r w:rsidRPr="006803AD">
              <w:rPr>
                <w:rFonts w:ascii="Times New Roman" w:hAnsi="Times New Roman" w:cs="Times New Roman"/>
                <w:sz w:val="20"/>
                <w:szCs w:val="20"/>
                <w:lang w:val="es-AR"/>
              </w:rPr>
              <w:t>894</w:t>
            </w:r>
          </w:p>
        </w:tc>
        <w:tc>
          <w:tcPr>
            <w:tcW w:w="126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CB5B6D8" w14:textId="77777777" w:rsidR="00D47A4C" w:rsidRPr="006803AD" w:rsidRDefault="00D47A4C" w:rsidP="00996816">
            <w:pPr>
              <w:jc w:val="right"/>
              <w:rPr>
                <w:rFonts w:ascii="Times New Roman" w:hAnsi="Times New Roman" w:cs="Times New Roman"/>
                <w:sz w:val="20"/>
                <w:szCs w:val="20"/>
                <w:lang w:val="es-ES"/>
              </w:rPr>
            </w:pPr>
            <w:r w:rsidRPr="006803AD">
              <w:rPr>
                <w:rFonts w:ascii="Times New Roman" w:hAnsi="Times New Roman" w:cs="Times New Roman"/>
                <w:sz w:val="20"/>
                <w:szCs w:val="20"/>
                <w:lang w:val="es-AR"/>
              </w:rPr>
              <w:t>3</w:t>
            </w:r>
            <w:r w:rsidR="001362C6" w:rsidRPr="006803AD">
              <w:rPr>
                <w:rFonts w:ascii="Times New Roman" w:hAnsi="Times New Roman" w:cs="Times New Roman"/>
                <w:sz w:val="20"/>
                <w:szCs w:val="20"/>
                <w:lang w:val="es-AR"/>
              </w:rPr>
              <w:t>.</w:t>
            </w:r>
            <w:r w:rsidRPr="006803AD">
              <w:rPr>
                <w:rFonts w:ascii="Times New Roman" w:hAnsi="Times New Roman" w:cs="Times New Roman"/>
                <w:sz w:val="20"/>
                <w:szCs w:val="20"/>
                <w:lang w:val="es-AR"/>
              </w:rPr>
              <w:t>759</w:t>
            </w:r>
          </w:p>
        </w:tc>
        <w:tc>
          <w:tcPr>
            <w:tcW w:w="126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2345F4D" w14:textId="77777777" w:rsidR="00D47A4C" w:rsidRPr="006803AD" w:rsidRDefault="00D47A4C" w:rsidP="00996816">
            <w:pPr>
              <w:jc w:val="right"/>
              <w:rPr>
                <w:rFonts w:ascii="Times New Roman" w:hAnsi="Times New Roman" w:cs="Times New Roman"/>
                <w:sz w:val="20"/>
                <w:szCs w:val="20"/>
                <w:lang w:val="es-ES"/>
              </w:rPr>
            </w:pPr>
            <w:r w:rsidRPr="006803AD">
              <w:rPr>
                <w:rFonts w:ascii="Times New Roman" w:hAnsi="Times New Roman" w:cs="Times New Roman"/>
                <w:sz w:val="20"/>
                <w:szCs w:val="20"/>
                <w:lang w:val="es-AR"/>
              </w:rPr>
              <w:t>830</w:t>
            </w:r>
            <w:r w:rsidR="001362C6" w:rsidRPr="006803AD">
              <w:rPr>
                <w:rFonts w:ascii="Times New Roman" w:hAnsi="Times New Roman" w:cs="Times New Roman"/>
                <w:sz w:val="20"/>
                <w:szCs w:val="20"/>
                <w:lang w:val="es-AR"/>
              </w:rPr>
              <w:t>.</w:t>
            </w:r>
            <w:r w:rsidRPr="006803AD">
              <w:rPr>
                <w:rFonts w:ascii="Times New Roman" w:hAnsi="Times New Roman" w:cs="Times New Roman"/>
                <w:sz w:val="20"/>
                <w:szCs w:val="20"/>
                <w:lang w:val="es-AR"/>
              </w:rPr>
              <w:t>144</w:t>
            </w:r>
          </w:p>
        </w:tc>
        <w:tc>
          <w:tcPr>
            <w:tcW w:w="126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E38D6D9" w14:textId="77777777" w:rsidR="00D47A4C" w:rsidRPr="006803AD" w:rsidRDefault="00D47A4C" w:rsidP="00996816">
            <w:pPr>
              <w:jc w:val="right"/>
              <w:rPr>
                <w:rFonts w:ascii="Times New Roman" w:hAnsi="Times New Roman" w:cs="Times New Roman"/>
                <w:sz w:val="20"/>
                <w:szCs w:val="20"/>
                <w:lang w:val="es-ES"/>
              </w:rPr>
            </w:pPr>
            <w:r w:rsidRPr="006803AD">
              <w:rPr>
                <w:rFonts w:ascii="Times New Roman" w:hAnsi="Times New Roman" w:cs="Times New Roman"/>
                <w:sz w:val="20"/>
                <w:szCs w:val="20"/>
                <w:lang w:val="es-ES"/>
              </w:rPr>
              <w:t>-1737</w:t>
            </w:r>
          </w:p>
        </w:tc>
        <w:tc>
          <w:tcPr>
            <w:tcW w:w="126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59746C9" w14:textId="77777777" w:rsidR="00D47A4C" w:rsidRPr="006803AD" w:rsidRDefault="00D47A4C" w:rsidP="00996816">
            <w:pPr>
              <w:jc w:val="right"/>
              <w:rPr>
                <w:rFonts w:ascii="Times New Roman" w:hAnsi="Times New Roman" w:cs="Times New Roman"/>
                <w:sz w:val="20"/>
                <w:szCs w:val="20"/>
                <w:lang w:val="es-ES"/>
              </w:rPr>
            </w:pPr>
            <w:r w:rsidRPr="006803AD">
              <w:rPr>
                <w:rFonts w:ascii="Times New Roman" w:hAnsi="Times New Roman" w:cs="Times New Roman"/>
                <w:sz w:val="20"/>
                <w:szCs w:val="20"/>
                <w:lang w:val="es-ES"/>
              </w:rPr>
              <w:t>336</w:t>
            </w:r>
            <w:r w:rsidR="001362C6" w:rsidRPr="006803AD">
              <w:rPr>
                <w:rFonts w:ascii="Times New Roman" w:hAnsi="Times New Roman" w:cs="Times New Roman"/>
                <w:sz w:val="20"/>
                <w:szCs w:val="20"/>
                <w:lang w:val="es-ES"/>
              </w:rPr>
              <w:t>.</w:t>
            </w:r>
            <w:r w:rsidRPr="006803AD">
              <w:rPr>
                <w:rFonts w:ascii="Times New Roman" w:hAnsi="Times New Roman" w:cs="Times New Roman"/>
                <w:sz w:val="20"/>
                <w:szCs w:val="20"/>
                <w:lang w:val="es-ES"/>
              </w:rPr>
              <w:t>250</w:t>
            </w:r>
          </w:p>
        </w:tc>
      </w:tr>
      <w:tr w:rsidR="008162B8" w:rsidRPr="006803AD" w14:paraId="4B354C06" w14:textId="77777777" w:rsidTr="001362C6">
        <w:tc>
          <w:tcPr>
            <w:tcW w:w="988" w:type="dxa"/>
            <w:tcBorders>
              <w:top w:val="single" w:sz="4" w:space="0" w:color="auto"/>
              <w:left w:val="single" w:sz="4" w:space="0" w:color="auto"/>
              <w:bottom w:val="single" w:sz="4" w:space="0" w:color="auto"/>
              <w:right w:val="single" w:sz="4" w:space="0" w:color="auto"/>
            </w:tcBorders>
            <w:hideMark/>
          </w:tcPr>
          <w:p w14:paraId="30906258" w14:textId="77777777" w:rsidR="00D47A4C" w:rsidRPr="006803AD" w:rsidRDefault="001362C6" w:rsidP="006803AD">
            <w:pPr>
              <w:jc w:val="center"/>
              <w:rPr>
                <w:rFonts w:ascii="Times New Roman" w:hAnsi="Times New Roman" w:cs="Times New Roman"/>
                <w:b/>
                <w:sz w:val="20"/>
                <w:szCs w:val="20"/>
                <w:lang w:val="es-ES"/>
              </w:rPr>
            </w:pPr>
            <w:r w:rsidRPr="006803AD">
              <w:rPr>
                <w:rFonts w:ascii="Times New Roman" w:hAnsi="Times New Roman" w:cs="Times New Roman"/>
                <w:b/>
                <w:sz w:val="20"/>
                <w:szCs w:val="20"/>
                <w:lang w:val="es-ES"/>
              </w:rPr>
              <w:t>Caprinos</w:t>
            </w:r>
          </w:p>
        </w:tc>
        <w:tc>
          <w:tcPr>
            <w:tcW w:w="1529" w:type="dxa"/>
            <w:tcBorders>
              <w:top w:val="single" w:sz="4" w:space="0" w:color="auto"/>
              <w:left w:val="single" w:sz="4" w:space="0" w:color="auto"/>
              <w:bottom w:val="single" w:sz="4" w:space="0" w:color="auto"/>
              <w:right w:val="single" w:sz="4" w:space="0" w:color="auto"/>
            </w:tcBorders>
            <w:hideMark/>
          </w:tcPr>
          <w:p w14:paraId="2E19A6CE" w14:textId="77777777" w:rsidR="00D47A4C" w:rsidRPr="006803AD" w:rsidRDefault="00D47A4C" w:rsidP="00996816">
            <w:pPr>
              <w:jc w:val="right"/>
              <w:rPr>
                <w:rFonts w:ascii="Times New Roman" w:hAnsi="Times New Roman" w:cs="Times New Roman"/>
                <w:sz w:val="20"/>
                <w:szCs w:val="20"/>
                <w:lang w:val="es-ES"/>
              </w:rPr>
            </w:pPr>
            <w:r w:rsidRPr="006803AD">
              <w:rPr>
                <w:rFonts w:ascii="Times New Roman" w:hAnsi="Times New Roman" w:cs="Times New Roman"/>
                <w:sz w:val="20"/>
                <w:szCs w:val="20"/>
                <w:lang w:val="es-AR"/>
              </w:rPr>
              <w:t>2</w:t>
            </w:r>
            <w:r w:rsidR="001362C6" w:rsidRPr="006803AD">
              <w:rPr>
                <w:rFonts w:ascii="Times New Roman" w:hAnsi="Times New Roman" w:cs="Times New Roman"/>
                <w:sz w:val="20"/>
                <w:szCs w:val="20"/>
                <w:lang w:val="es-AR"/>
              </w:rPr>
              <w:t>.</w:t>
            </w:r>
            <w:r w:rsidRPr="006803AD">
              <w:rPr>
                <w:rFonts w:ascii="Times New Roman" w:hAnsi="Times New Roman" w:cs="Times New Roman"/>
                <w:sz w:val="20"/>
                <w:szCs w:val="20"/>
                <w:lang w:val="es-AR"/>
              </w:rPr>
              <w:t>834</w:t>
            </w:r>
          </w:p>
        </w:tc>
        <w:tc>
          <w:tcPr>
            <w:tcW w:w="1261" w:type="dxa"/>
            <w:tcBorders>
              <w:top w:val="single" w:sz="4" w:space="0" w:color="auto"/>
              <w:left w:val="single" w:sz="4" w:space="0" w:color="auto"/>
              <w:bottom w:val="single" w:sz="4" w:space="0" w:color="auto"/>
              <w:right w:val="single" w:sz="4" w:space="0" w:color="auto"/>
            </w:tcBorders>
            <w:hideMark/>
          </w:tcPr>
          <w:p w14:paraId="292108B3" w14:textId="77777777" w:rsidR="00D47A4C" w:rsidRPr="006803AD" w:rsidRDefault="00D47A4C" w:rsidP="00996816">
            <w:pPr>
              <w:jc w:val="right"/>
              <w:rPr>
                <w:rFonts w:ascii="Times New Roman" w:hAnsi="Times New Roman" w:cs="Times New Roman"/>
                <w:sz w:val="20"/>
                <w:szCs w:val="20"/>
                <w:lang w:val="es-ES"/>
              </w:rPr>
            </w:pPr>
            <w:r w:rsidRPr="006803AD">
              <w:rPr>
                <w:rFonts w:ascii="Times New Roman" w:hAnsi="Times New Roman" w:cs="Times New Roman"/>
                <w:sz w:val="20"/>
                <w:szCs w:val="20"/>
                <w:lang w:val="es-AR"/>
              </w:rPr>
              <w:t>197</w:t>
            </w:r>
            <w:r w:rsidR="001362C6" w:rsidRPr="006803AD">
              <w:rPr>
                <w:rFonts w:ascii="Times New Roman" w:hAnsi="Times New Roman" w:cs="Times New Roman"/>
                <w:sz w:val="20"/>
                <w:szCs w:val="20"/>
                <w:lang w:val="es-AR"/>
              </w:rPr>
              <w:t>.</w:t>
            </w:r>
            <w:r w:rsidRPr="006803AD">
              <w:rPr>
                <w:rFonts w:ascii="Times New Roman" w:hAnsi="Times New Roman" w:cs="Times New Roman"/>
                <w:sz w:val="20"/>
                <w:szCs w:val="20"/>
                <w:lang w:val="es-AR"/>
              </w:rPr>
              <w:t>347</w:t>
            </w:r>
          </w:p>
        </w:tc>
        <w:tc>
          <w:tcPr>
            <w:tcW w:w="1261" w:type="dxa"/>
            <w:tcBorders>
              <w:top w:val="single" w:sz="4" w:space="0" w:color="auto"/>
              <w:left w:val="single" w:sz="4" w:space="0" w:color="auto"/>
              <w:bottom w:val="single" w:sz="4" w:space="0" w:color="auto"/>
              <w:right w:val="single" w:sz="4" w:space="0" w:color="auto"/>
            </w:tcBorders>
            <w:hideMark/>
          </w:tcPr>
          <w:p w14:paraId="73578906" w14:textId="77777777" w:rsidR="00D47A4C" w:rsidRPr="006803AD" w:rsidRDefault="00D47A4C" w:rsidP="00996816">
            <w:pPr>
              <w:jc w:val="right"/>
              <w:rPr>
                <w:rFonts w:ascii="Times New Roman" w:hAnsi="Times New Roman" w:cs="Times New Roman"/>
                <w:sz w:val="20"/>
                <w:szCs w:val="20"/>
                <w:lang w:val="es-ES"/>
              </w:rPr>
            </w:pPr>
            <w:r w:rsidRPr="006803AD">
              <w:rPr>
                <w:rFonts w:ascii="Times New Roman" w:hAnsi="Times New Roman" w:cs="Times New Roman"/>
                <w:sz w:val="20"/>
                <w:szCs w:val="20"/>
                <w:lang w:val="es-AR"/>
              </w:rPr>
              <w:t>2</w:t>
            </w:r>
            <w:r w:rsidR="001362C6" w:rsidRPr="006803AD">
              <w:rPr>
                <w:rFonts w:ascii="Times New Roman" w:hAnsi="Times New Roman" w:cs="Times New Roman"/>
                <w:sz w:val="20"/>
                <w:szCs w:val="20"/>
                <w:lang w:val="es-AR"/>
              </w:rPr>
              <w:t>.</w:t>
            </w:r>
            <w:r w:rsidRPr="006803AD">
              <w:rPr>
                <w:rFonts w:ascii="Times New Roman" w:hAnsi="Times New Roman" w:cs="Times New Roman"/>
                <w:sz w:val="20"/>
                <w:szCs w:val="20"/>
                <w:lang w:val="es-AR"/>
              </w:rPr>
              <w:t>301</w:t>
            </w:r>
          </w:p>
        </w:tc>
        <w:tc>
          <w:tcPr>
            <w:tcW w:w="1261" w:type="dxa"/>
            <w:tcBorders>
              <w:top w:val="single" w:sz="4" w:space="0" w:color="auto"/>
              <w:left w:val="single" w:sz="4" w:space="0" w:color="auto"/>
              <w:bottom w:val="single" w:sz="4" w:space="0" w:color="auto"/>
              <w:right w:val="single" w:sz="4" w:space="0" w:color="auto"/>
            </w:tcBorders>
            <w:hideMark/>
          </w:tcPr>
          <w:p w14:paraId="0030AEC2" w14:textId="77777777" w:rsidR="00D47A4C" w:rsidRPr="006803AD" w:rsidRDefault="00D47A4C" w:rsidP="00996816">
            <w:pPr>
              <w:jc w:val="right"/>
              <w:rPr>
                <w:rFonts w:ascii="Times New Roman" w:hAnsi="Times New Roman" w:cs="Times New Roman"/>
                <w:sz w:val="20"/>
                <w:szCs w:val="20"/>
                <w:lang w:val="es-ES"/>
              </w:rPr>
            </w:pPr>
            <w:r w:rsidRPr="006803AD">
              <w:rPr>
                <w:rFonts w:ascii="Times New Roman" w:hAnsi="Times New Roman" w:cs="Times New Roman"/>
                <w:sz w:val="20"/>
                <w:szCs w:val="20"/>
                <w:lang w:val="es-AR"/>
              </w:rPr>
              <w:t>156</w:t>
            </w:r>
            <w:r w:rsidR="001362C6" w:rsidRPr="006803AD">
              <w:rPr>
                <w:rFonts w:ascii="Times New Roman" w:hAnsi="Times New Roman" w:cs="Times New Roman"/>
                <w:sz w:val="20"/>
                <w:szCs w:val="20"/>
                <w:lang w:val="es-AR"/>
              </w:rPr>
              <w:t>.</w:t>
            </w:r>
            <w:r w:rsidRPr="006803AD">
              <w:rPr>
                <w:rFonts w:ascii="Times New Roman" w:hAnsi="Times New Roman" w:cs="Times New Roman"/>
                <w:sz w:val="20"/>
                <w:szCs w:val="20"/>
                <w:lang w:val="es-AR"/>
              </w:rPr>
              <w:t>975</w:t>
            </w:r>
          </w:p>
        </w:tc>
        <w:tc>
          <w:tcPr>
            <w:tcW w:w="1261" w:type="dxa"/>
            <w:tcBorders>
              <w:top w:val="single" w:sz="4" w:space="0" w:color="auto"/>
              <w:left w:val="single" w:sz="4" w:space="0" w:color="auto"/>
              <w:bottom w:val="single" w:sz="4" w:space="0" w:color="auto"/>
              <w:right w:val="single" w:sz="4" w:space="0" w:color="auto"/>
            </w:tcBorders>
            <w:hideMark/>
          </w:tcPr>
          <w:p w14:paraId="66ACFA74" w14:textId="77777777" w:rsidR="00D47A4C" w:rsidRPr="006803AD" w:rsidRDefault="00D47A4C" w:rsidP="00996816">
            <w:pPr>
              <w:jc w:val="right"/>
              <w:rPr>
                <w:rFonts w:ascii="Times New Roman" w:hAnsi="Times New Roman" w:cs="Times New Roman"/>
                <w:sz w:val="20"/>
                <w:szCs w:val="20"/>
                <w:lang w:val="es-ES"/>
              </w:rPr>
            </w:pPr>
            <w:r w:rsidRPr="006803AD">
              <w:rPr>
                <w:rFonts w:ascii="Times New Roman" w:hAnsi="Times New Roman" w:cs="Times New Roman"/>
                <w:sz w:val="20"/>
                <w:szCs w:val="20"/>
                <w:lang w:val="es-ES"/>
              </w:rPr>
              <w:t>-533</w:t>
            </w:r>
          </w:p>
        </w:tc>
        <w:tc>
          <w:tcPr>
            <w:tcW w:w="1267" w:type="dxa"/>
            <w:tcBorders>
              <w:top w:val="single" w:sz="4" w:space="0" w:color="auto"/>
              <w:left w:val="single" w:sz="4" w:space="0" w:color="auto"/>
              <w:bottom w:val="single" w:sz="4" w:space="0" w:color="auto"/>
              <w:right w:val="single" w:sz="4" w:space="0" w:color="auto"/>
            </w:tcBorders>
            <w:hideMark/>
          </w:tcPr>
          <w:p w14:paraId="151113E7" w14:textId="77777777" w:rsidR="00D47A4C" w:rsidRPr="006803AD" w:rsidRDefault="00D47A4C" w:rsidP="00996816">
            <w:pPr>
              <w:jc w:val="right"/>
              <w:rPr>
                <w:rFonts w:ascii="Times New Roman" w:hAnsi="Times New Roman" w:cs="Times New Roman"/>
                <w:sz w:val="20"/>
                <w:szCs w:val="20"/>
                <w:lang w:val="es-ES"/>
              </w:rPr>
            </w:pPr>
            <w:r w:rsidRPr="006803AD">
              <w:rPr>
                <w:rFonts w:ascii="Times New Roman" w:hAnsi="Times New Roman" w:cs="Times New Roman"/>
                <w:sz w:val="20"/>
                <w:szCs w:val="20"/>
                <w:lang w:val="es-ES"/>
              </w:rPr>
              <w:t>-40.372</w:t>
            </w:r>
          </w:p>
        </w:tc>
      </w:tr>
      <w:tr w:rsidR="008162B8" w:rsidRPr="006803AD" w14:paraId="58DB5D11" w14:textId="77777777" w:rsidTr="009C1915">
        <w:tc>
          <w:tcPr>
            <w:tcW w:w="98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6B26A7B" w14:textId="77777777" w:rsidR="00D47A4C" w:rsidRPr="006803AD" w:rsidRDefault="001362C6" w:rsidP="006803AD">
            <w:pPr>
              <w:jc w:val="center"/>
              <w:rPr>
                <w:rFonts w:ascii="Times New Roman" w:hAnsi="Times New Roman" w:cs="Times New Roman"/>
                <w:b/>
                <w:sz w:val="20"/>
                <w:szCs w:val="20"/>
                <w:lang w:val="es-ES"/>
              </w:rPr>
            </w:pPr>
            <w:r w:rsidRPr="006803AD">
              <w:rPr>
                <w:rFonts w:ascii="Times New Roman" w:hAnsi="Times New Roman" w:cs="Times New Roman"/>
                <w:b/>
                <w:sz w:val="20"/>
                <w:szCs w:val="20"/>
                <w:lang w:val="es-ES"/>
              </w:rPr>
              <w:t>Ovinos</w:t>
            </w:r>
          </w:p>
        </w:tc>
        <w:tc>
          <w:tcPr>
            <w:tcW w:w="15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5ABC488" w14:textId="77777777" w:rsidR="00D47A4C" w:rsidRPr="006803AD" w:rsidRDefault="00D47A4C" w:rsidP="00996816">
            <w:pPr>
              <w:jc w:val="right"/>
              <w:rPr>
                <w:rFonts w:ascii="Times New Roman" w:hAnsi="Times New Roman" w:cs="Times New Roman"/>
                <w:sz w:val="20"/>
                <w:szCs w:val="20"/>
                <w:lang w:val="es-ES"/>
              </w:rPr>
            </w:pPr>
            <w:r w:rsidRPr="006803AD">
              <w:rPr>
                <w:rFonts w:ascii="Times New Roman" w:hAnsi="Times New Roman" w:cs="Times New Roman"/>
                <w:sz w:val="20"/>
                <w:szCs w:val="20"/>
                <w:lang w:val="es-AR"/>
              </w:rPr>
              <w:t>2</w:t>
            </w:r>
            <w:r w:rsidR="001362C6" w:rsidRPr="006803AD">
              <w:rPr>
                <w:rFonts w:ascii="Times New Roman" w:hAnsi="Times New Roman" w:cs="Times New Roman"/>
                <w:sz w:val="20"/>
                <w:szCs w:val="20"/>
                <w:lang w:val="es-AR"/>
              </w:rPr>
              <w:t>.</w:t>
            </w:r>
            <w:r w:rsidRPr="006803AD">
              <w:rPr>
                <w:rFonts w:ascii="Times New Roman" w:hAnsi="Times New Roman" w:cs="Times New Roman"/>
                <w:sz w:val="20"/>
                <w:szCs w:val="20"/>
                <w:lang w:val="es-AR"/>
              </w:rPr>
              <w:t>649</w:t>
            </w:r>
          </w:p>
        </w:tc>
        <w:tc>
          <w:tcPr>
            <w:tcW w:w="126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99F52B2" w14:textId="77777777" w:rsidR="00D47A4C" w:rsidRPr="006803AD" w:rsidRDefault="00D47A4C" w:rsidP="00996816">
            <w:pPr>
              <w:jc w:val="right"/>
              <w:rPr>
                <w:rFonts w:ascii="Times New Roman" w:hAnsi="Times New Roman" w:cs="Times New Roman"/>
                <w:sz w:val="20"/>
                <w:szCs w:val="20"/>
                <w:lang w:val="es-ES"/>
              </w:rPr>
            </w:pPr>
            <w:r w:rsidRPr="006803AD">
              <w:rPr>
                <w:rFonts w:ascii="Times New Roman" w:hAnsi="Times New Roman" w:cs="Times New Roman"/>
                <w:sz w:val="20"/>
                <w:szCs w:val="20"/>
                <w:lang w:val="es-AR"/>
              </w:rPr>
              <w:t>166</w:t>
            </w:r>
            <w:r w:rsidR="001362C6" w:rsidRPr="006803AD">
              <w:rPr>
                <w:rFonts w:ascii="Times New Roman" w:hAnsi="Times New Roman" w:cs="Times New Roman"/>
                <w:sz w:val="20"/>
                <w:szCs w:val="20"/>
                <w:lang w:val="es-AR"/>
              </w:rPr>
              <w:t>.</w:t>
            </w:r>
            <w:r w:rsidRPr="006803AD">
              <w:rPr>
                <w:rFonts w:ascii="Times New Roman" w:hAnsi="Times New Roman" w:cs="Times New Roman"/>
                <w:sz w:val="20"/>
                <w:szCs w:val="20"/>
                <w:lang w:val="es-AR"/>
              </w:rPr>
              <w:t>782</w:t>
            </w:r>
          </w:p>
        </w:tc>
        <w:tc>
          <w:tcPr>
            <w:tcW w:w="126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03466D4" w14:textId="77777777" w:rsidR="00D47A4C" w:rsidRPr="006803AD" w:rsidRDefault="00D47A4C" w:rsidP="00996816">
            <w:pPr>
              <w:jc w:val="right"/>
              <w:rPr>
                <w:rFonts w:ascii="Times New Roman" w:hAnsi="Times New Roman" w:cs="Times New Roman"/>
                <w:sz w:val="20"/>
                <w:szCs w:val="20"/>
                <w:lang w:val="es-ES"/>
              </w:rPr>
            </w:pPr>
            <w:r w:rsidRPr="006803AD">
              <w:rPr>
                <w:rFonts w:ascii="Times New Roman" w:hAnsi="Times New Roman" w:cs="Times New Roman"/>
                <w:sz w:val="20"/>
                <w:szCs w:val="20"/>
                <w:lang w:val="es-AR"/>
              </w:rPr>
              <w:t>2</w:t>
            </w:r>
            <w:r w:rsidR="001362C6" w:rsidRPr="006803AD">
              <w:rPr>
                <w:rFonts w:ascii="Times New Roman" w:hAnsi="Times New Roman" w:cs="Times New Roman"/>
                <w:sz w:val="20"/>
                <w:szCs w:val="20"/>
                <w:lang w:val="es-AR"/>
              </w:rPr>
              <w:t>.</w:t>
            </w:r>
            <w:r w:rsidRPr="006803AD">
              <w:rPr>
                <w:rFonts w:ascii="Times New Roman" w:hAnsi="Times New Roman" w:cs="Times New Roman"/>
                <w:sz w:val="20"/>
                <w:szCs w:val="20"/>
                <w:lang w:val="es-AR"/>
              </w:rPr>
              <w:t>133</w:t>
            </w:r>
          </w:p>
        </w:tc>
        <w:tc>
          <w:tcPr>
            <w:tcW w:w="126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559D013" w14:textId="77777777" w:rsidR="00D47A4C" w:rsidRPr="006803AD" w:rsidRDefault="00D47A4C" w:rsidP="00996816">
            <w:pPr>
              <w:jc w:val="right"/>
              <w:rPr>
                <w:rFonts w:ascii="Times New Roman" w:hAnsi="Times New Roman" w:cs="Times New Roman"/>
                <w:sz w:val="20"/>
                <w:szCs w:val="20"/>
                <w:lang w:val="es-ES"/>
              </w:rPr>
            </w:pPr>
            <w:r w:rsidRPr="006803AD">
              <w:rPr>
                <w:rFonts w:ascii="Times New Roman" w:hAnsi="Times New Roman" w:cs="Times New Roman"/>
                <w:sz w:val="20"/>
                <w:szCs w:val="20"/>
                <w:lang w:val="es-AR"/>
              </w:rPr>
              <w:t>116</w:t>
            </w:r>
            <w:r w:rsidR="001362C6" w:rsidRPr="006803AD">
              <w:rPr>
                <w:rFonts w:ascii="Times New Roman" w:hAnsi="Times New Roman" w:cs="Times New Roman"/>
                <w:sz w:val="20"/>
                <w:szCs w:val="20"/>
                <w:lang w:val="es-AR"/>
              </w:rPr>
              <w:t>.</w:t>
            </w:r>
            <w:r w:rsidRPr="006803AD">
              <w:rPr>
                <w:rFonts w:ascii="Times New Roman" w:hAnsi="Times New Roman" w:cs="Times New Roman"/>
                <w:sz w:val="20"/>
                <w:szCs w:val="20"/>
                <w:lang w:val="es-AR"/>
              </w:rPr>
              <w:t>708</w:t>
            </w:r>
          </w:p>
        </w:tc>
        <w:tc>
          <w:tcPr>
            <w:tcW w:w="126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1902287" w14:textId="77777777" w:rsidR="00D47A4C" w:rsidRPr="006803AD" w:rsidRDefault="00D47A4C" w:rsidP="00996816">
            <w:pPr>
              <w:jc w:val="right"/>
              <w:rPr>
                <w:rFonts w:ascii="Times New Roman" w:hAnsi="Times New Roman" w:cs="Times New Roman"/>
                <w:sz w:val="20"/>
                <w:szCs w:val="20"/>
                <w:lang w:val="es-ES"/>
              </w:rPr>
            </w:pPr>
            <w:r w:rsidRPr="006803AD">
              <w:rPr>
                <w:rFonts w:ascii="Times New Roman" w:hAnsi="Times New Roman" w:cs="Times New Roman"/>
                <w:sz w:val="20"/>
                <w:szCs w:val="20"/>
                <w:lang w:val="es-ES"/>
              </w:rPr>
              <w:t>-516</w:t>
            </w:r>
          </w:p>
        </w:tc>
        <w:tc>
          <w:tcPr>
            <w:tcW w:w="126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1893C4F" w14:textId="77777777" w:rsidR="00D47A4C" w:rsidRPr="006803AD" w:rsidRDefault="00D47A4C" w:rsidP="00996816">
            <w:pPr>
              <w:jc w:val="right"/>
              <w:rPr>
                <w:rFonts w:ascii="Times New Roman" w:hAnsi="Times New Roman" w:cs="Times New Roman"/>
                <w:sz w:val="20"/>
                <w:szCs w:val="20"/>
                <w:lang w:val="es-ES"/>
              </w:rPr>
            </w:pPr>
            <w:r w:rsidRPr="006803AD">
              <w:rPr>
                <w:rFonts w:ascii="Times New Roman" w:hAnsi="Times New Roman" w:cs="Times New Roman"/>
                <w:sz w:val="20"/>
                <w:szCs w:val="20"/>
                <w:lang w:val="es-ES"/>
              </w:rPr>
              <w:t>-50.074</w:t>
            </w:r>
          </w:p>
        </w:tc>
      </w:tr>
    </w:tbl>
    <w:p w14:paraId="728E4D9F" w14:textId="77777777" w:rsidR="00043956" w:rsidRPr="00331929" w:rsidRDefault="00043956" w:rsidP="006803AD">
      <w:pPr>
        <w:ind w:left="142"/>
        <w:jc w:val="center"/>
        <w:rPr>
          <w:rFonts w:ascii="Times New Roman" w:hAnsi="Times New Roman" w:cs="Times New Roman"/>
          <w:sz w:val="20"/>
          <w:szCs w:val="20"/>
          <w:lang w:val="es-AR"/>
        </w:rPr>
      </w:pPr>
      <w:r w:rsidRPr="00331929">
        <w:rPr>
          <w:rFonts w:ascii="Times New Roman" w:hAnsi="Times New Roman" w:cs="Times New Roman"/>
          <w:sz w:val="20"/>
          <w:szCs w:val="20"/>
          <w:lang w:val="es-AR"/>
        </w:rPr>
        <w:t>Fuente: Elaboración pro</w:t>
      </w:r>
      <w:r w:rsidR="009C1915">
        <w:rPr>
          <w:rFonts w:ascii="Times New Roman" w:hAnsi="Times New Roman" w:cs="Times New Roman"/>
          <w:sz w:val="20"/>
          <w:szCs w:val="20"/>
          <w:lang w:val="es-AR"/>
        </w:rPr>
        <w:t>pia en base a INDEC CNA-18 (resultados</w:t>
      </w:r>
      <w:r w:rsidRPr="00331929">
        <w:rPr>
          <w:rFonts w:ascii="Times New Roman" w:hAnsi="Times New Roman" w:cs="Times New Roman"/>
          <w:sz w:val="20"/>
          <w:szCs w:val="20"/>
          <w:lang w:val="es-AR"/>
        </w:rPr>
        <w:t xml:space="preserve"> preliminares) y CNA-02</w:t>
      </w:r>
    </w:p>
    <w:p w14:paraId="5844B942" w14:textId="73A937C2" w:rsidR="0017384A" w:rsidRPr="00331929" w:rsidRDefault="001362C6" w:rsidP="00AC03A4">
      <w:pPr>
        <w:spacing w:before="120" w:after="120"/>
        <w:ind w:left="142" w:firstLine="578"/>
        <w:jc w:val="both"/>
        <w:rPr>
          <w:rFonts w:ascii="Times New Roman" w:hAnsi="Times New Roman" w:cs="Times New Roman"/>
          <w:lang w:val="es-AR"/>
        </w:rPr>
      </w:pPr>
      <w:r w:rsidRPr="00331929">
        <w:rPr>
          <w:rFonts w:ascii="Times New Roman" w:hAnsi="Times New Roman" w:cs="Times New Roman"/>
          <w:lang w:val="es-AR"/>
        </w:rPr>
        <w:t>Los datos consignados en el C</w:t>
      </w:r>
      <w:r w:rsidR="008143A2" w:rsidRPr="00331929">
        <w:rPr>
          <w:rFonts w:ascii="Times New Roman" w:hAnsi="Times New Roman" w:cs="Times New Roman"/>
          <w:lang w:val="es-AR"/>
        </w:rPr>
        <w:t xml:space="preserve">enso </w:t>
      </w:r>
      <w:r w:rsidRPr="00331929">
        <w:rPr>
          <w:rFonts w:ascii="Times New Roman" w:hAnsi="Times New Roman" w:cs="Times New Roman"/>
          <w:lang w:val="es-AR"/>
        </w:rPr>
        <w:t xml:space="preserve">2018 </w:t>
      </w:r>
      <w:r w:rsidR="00BC4A79" w:rsidRPr="00331929">
        <w:rPr>
          <w:rFonts w:ascii="Times New Roman" w:hAnsi="Times New Roman" w:cs="Times New Roman"/>
          <w:lang w:val="es-AR"/>
        </w:rPr>
        <w:t xml:space="preserve">evidencian </w:t>
      </w:r>
      <w:r w:rsidRPr="00331929">
        <w:rPr>
          <w:rFonts w:ascii="Times New Roman" w:hAnsi="Times New Roman" w:cs="Times New Roman"/>
          <w:lang w:val="es-AR"/>
        </w:rPr>
        <w:t xml:space="preserve">una </w:t>
      </w:r>
      <w:r w:rsidR="00BC4A79" w:rsidRPr="00331929">
        <w:rPr>
          <w:rFonts w:ascii="Times New Roman" w:hAnsi="Times New Roman" w:cs="Times New Roman"/>
          <w:lang w:val="es-AR"/>
        </w:rPr>
        <w:t>disminución</w:t>
      </w:r>
      <w:r w:rsidRPr="00331929">
        <w:rPr>
          <w:rFonts w:ascii="Times New Roman" w:hAnsi="Times New Roman" w:cs="Times New Roman"/>
          <w:lang w:val="es-AR"/>
        </w:rPr>
        <w:t xml:space="preserve"> en la cantidad de EAPs</w:t>
      </w:r>
      <w:r w:rsidR="008143A2" w:rsidRPr="00331929">
        <w:rPr>
          <w:rFonts w:ascii="Times New Roman" w:hAnsi="Times New Roman" w:cs="Times New Roman"/>
          <w:lang w:val="es-AR"/>
        </w:rPr>
        <w:t xml:space="preserve"> en </w:t>
      </w:r>
      <w:r w:rsidR="0012645C" w:rsidRPr="00331929">
        <w:rPr>
          <w:rFonts w:ascii="Times New Roman" w:hAnsi="Times New Roman" w:cs="Times New Roman"/>
          <w:lang w:val="es-AR"/>
        </w:rPr>
        <w:t>todos los tipos</w:t>
      </w:r>
      <w:r w:rsidR="008143A2" w:rsidRPr="00331929">
        <w:rPr>
          <w:rFonts w:ascii="Times New Roman" w:hAnsi="Times New Roman" w:cs="Times New Roman"/>
          <w:lang w:val="es-AR"/>
        </w:rPr>
        <w:t xml:space="preserve"> de producción ganadera, así como en la cantidad de cabezas ovinas y </w:t>
      </w:r>
      <w:r w:rsidR="00BC4A79" w:rsidRPr="00331929">
        <w:rPr>
          <w:rFonts w:ascii="Times New Roman" w:hAnsi="Times New Roman" w:cs="Times New Roman"/>
          <w:lang w:val="es-AR"/>
        </w:rPr>
        <w:t xml:space="preserve">caprinas, situación que nos parece anómala y por lo tanto </w:t>
      </w:r>
      <w:r w:rsidR="008143A2" w:rsidRPr="00331929">
        <w:rPr>
          <w:rFonts w:ascii="Times New Roman" w:hAnsi="Times New Roman" w:cs="Times New Roman"/>
          <w:lang w:val="es-AR"/>
        </w:rPr>
        <w:t xml:space="preserve">nos lleva a contrastar </w:t>
      </w:r>
      <w:r w:rsidR="00182CDC">
        <w:rPr>
          <w:rFonts w:ascii="Times New Roman" w:hAnsi="Times New Roman" w:cs="Times New Roman"/>
          <w:lang w:val="es-AR"/>
        </w:rPr>
        <w:t xml:space="preserve">estos datos </w:t>
      </w:r>
      <w:r w:rsidR="008143A2" w:rsidRPr="00331929">
        <w:rPr>
          <w:rFonts w:ascii="Times New Roman" w:hAnsi="Times New Roman" w:cs="Times New Roman"/>
          <w:lang w:val="es-AR"/>
        </w:rPr>
        <w:t xml:space="preserve">con la información </w:t>
      </w:r>
      <w:r w:rsidRPr="00331929">
        <w:rPr>
          <w:rFonts w:ascii="Times New Roman" w:hAnsi="Times New Roman" w:cs="Times New Roman"/>
          <w:lang w:val="es-AR"/>
        </w:rPr>
        <w:t>que provee</w:t>
      </w:r>
      <w:r w:rsidR="008143A2" w:rsidRPr="00331929">
        <w:rPr>
          <w:rFonts w:ascii="Times New Roman" w:hAnsi="Times New Roman" w:cs="Times New Roman"/>
          <w:lang w:val="es-AR"/>
        </w:rPr>
        <w:t xml:space="preserve"> SENASA, </w:t>
      </w:r>
      <w:r w:rsidRPr="00331929">
        <w:rPr>
          <w:rFonts w:ascii="Times New Roman" w:hAnsi="Times New Roman" w:cs="Times New Roman"/>
          <w:lang w:val="es-AR"/>
        </w:rPr>
        <w:t xml:space="preserve">la cual es </w:t>
      </w:r>
      <w:r w:rsidR="008143A2" w:rsidRPr="00331929">
        <w:rPr>
          <w:rFonts w:ascii="Times New Roman" w:hAnsi="Times New Roman" w:cs="Times New Roman"/>
          <w:lang w:val="es-AR"/>
        </w:rPr>
        <w:t xml:space="preserve">relevada a través del Sistema de Gestión </w:t>
      </w:r>
      <w:r w:rsidR="0012645C" w:rsidRPr="00331929">
        <w:rPr>
          <w:rFonts w:ascii="Times New Roman" w:hAnsi="Times New Roman" w:cs="Times New Roman"/>
          <w:lang w:val="es-AR"/>
        </w:rPr>
        <w:t>Sanitaria</w:t>
      </w:r>
      <w:r w:rsidRPr="00331929">
        <w:rPr>
          <w:rFonts w:ascii="Times New Roman" w:hAnsi="Times New Roman" w:cs="Times New Roman"/>
          <w:lang w:val="es-AR"/>
        </w:rPr>
        <w:t xml:space="preserve"> (SIGSA)</w:t>
      </w:r>
      <w:r w:rsidR="008143A2" w:rsidRPr="00331929">
        <w:rPr>
          <w:rFonts w:ascii="Times New Roman" w:hAnsi="Times New Roman" w:cs="Times New Roman"/>
          <w:lang w:val="es-AR"/>
        </w:rPr>
        <w:t xml:space="preserve"> de la Dirección Nacional de Sanidad Animal</w:t>
      </w:r>
      <w:r w:rsidRPr="00331929">
        <w:rPr>
          <w:rFonts w:ascii="Times New Roman" w:hAnsi="Times New Roman" w:cs="Times New Roman"/>
          <w:lang w:val="es-AR"/>
        </w:rPr>
        <w:t xml:space="preserve"> (2018).</w:t>
      </w:r>
    </w:p>
    <w:p w14:paraId="5F83F36A" w14:textId="42DB9D99" w:rsidR="008143A2" w:rsidRPr="00331929" w:rsidRDefault="006C5F8E" w:rsidP="006803AD">
      <w:pPr>
        <w:spacing w:before="120" w:after="120"/>
        <w:ind w:left="142"/>
        <w:jc w:val="center"/>
        <w:rPr>
          <w:rFonts w:ascii="Times New Roman" w:hAnsi="Times New Roman" w:cs="Times New Roman"/>
          <w:b/>
          <w:lang w:val="es-AR"/>
        </w:rPr>
      </w:pPr>
      <w:r w:rsidRPr="00331929">
        <w:rPr>
          <w:rFonts w:ascii="Times New Roman" w:hAnsi="Times New Roman" w:cs="Times New Roman"/>
          <w:b/>
          <w:lang w:val="es-AR"/>
        </w:rPr>
        <w:t>Cuadro</w:t>
      </w:r>
      <w:r w:rsidR="00182CDC">
        <w:rPr>
          <w:rFonts w:ascii="Times New Roman" w:hAnsi="Times New Roman" w:cs="Times New Roman"/>
          <w:b/>
          <w:lang w:val="es-AR"/>
        </w:rPr>
        <w:t xml:space="preserve"> N°</w:t>
      </w:r>
      <w:r w:rsidR="00AC0523">
        <w:rPr>
          <w:rFonts w:ascii="Times New Roman" w:hAnsi="Times New Roman" w:cs="Times New Roman"/>
          <w:b/>
          <w:lang w:val="es-AR"/>
        </w:rPr>
        <w:t>8:</w:t>
      </w:r>
      <w:r w:rsidR="00BC4A79" w:rsidRPr="00331929">
        <w:rPr>
          <w:rFonts w:ascii="Times New Roman" w:hAnsi="Times New Roman" w:cs="Times New Roman"/>
          <w:b/>
          <w:lang w:val="es-AR"/>
        </w:rPr>
        <w:t xml:space="preserve"> Existencia</w:t>
      </w:r>
      <w:r w:rsidRPr="00331929">
        <w:rPr>
          <w:rFonts w:ascii="Times New Roman" w:hAnsi="Times New Roman" w:cs="Times New Roman"/>
          <w:b/>
          <w:lang w:val="es-AR"/>
        </w:rPr>
        <w:t xml:space="preserve"> Ganadera </w:t>
      </w:r>
      <w:r w:rsidR="009C1915">
        <w:rPr>
          <w:rFonts w:ascii="Times New Roman" w:hAnsi="Times New Roman" w:cs="Times New Roman"/>
          <w:b/>
          <w:lang w:val="es-AR"/>
        </w:rPr>
        <w:t>(</w:t>
      </w:r>
      <w:r w:rsidRPr="00331929">
        <w:rPr>
          <w:rFonts w:ascii="Times New Roman" w:hAnsi="Times New Roman" w:cs="Times New Roman"/>
          <w:b/>
          <w:lang w:val="es-AR"/>
        </w:rPr>
        <w:t>en número de cabezas</w:t>
      </w:r>
      <w:r w:rsidR="009C1915">
        <w:rPr>
          <w:rFonts w:ascii="Times New Roman" w:hAnsi="Times New Roman" w:cs="Times New Roman"/>
          <w:b/>
          <w:lang w:val="es-AR"/>
        </w:rPr>
        <w:t>)</w:t>
      </w:r>
    </w:p>
    <w:tbl>
      <w:tblPr>
        <w:tblStyle w:val="Listamedia2-nfasis1"/>
        <w:tblW w:w="32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902"/>
        <w:gridCol w:w="1399"/>
        <w:gridCol w:w="1399"/>
      </w:tblGrid>
      <w:tr w:rsidR="008162B8" w:rsidRPr="00331929" w14:paraId="0F1553BF" w14:textId="77777777" w:rsidTr="008162B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34" w:type="pct"/>
            <w:tcBorders>
              <w:top w:val="none" w:sz="0" w:space="0" w:color="auto"/>
              <w:left w:val="none" w:sz="0" w:space="0" w:color="auto"/>
              <w:bottom w:val="none" w:sz="0" w:space="0" w:color="auto"/>
              <w:right w:val="none" w:sz="0" w:space="0" w:color="auto"/>
            </w:tcBorders>
            <w:noWrap/>
          </w:tcPr>
          <w:p w14:paraId="641E0C90" w14:textId="77777777" w:rsidR="00E72243" w:rsidRPr="00331929" w:rsidRDefault="00E72243" w:rsidP="006803AD">
            <w:pPr>
              <w:jc w:val="center"/>
              <w:rPr>
                <w:rFonts w:ascii="Times New Roman" w:eastAsiaTheme="minorEastAsia" w:hAnsi="Times New Roman" w:cs="Times New Roman"/>
                <w:b/>
                <w:color w:val="auto"/>
                <w:sz w:val="20"/>
                <w:szCs w:val="20"/>
                <w:lang w:val="es-AR"/>
              </w:rPr>
            </w:pPr>
          </w:p>
        </w:tc>
        <w:tc>
          <w:tcPr>
            <w:tcW w:w="1646" w:type="pct"/>
            <w:tcBorders>
              <w:top w:val="none" w:sz="0" w:space="0" w:color="auto"/>
              <w:left w:val="none" w:sz="0" w:space="0" w:color="auto"/>
              <w:bottom w:val="none" w:sz="0" w:space="0" w:color="auto"/>
              <w:right w:val="none" w:sz="0" w:space="0" w:color="auto"/>
            </w:tcBorders>
          </w:tcPr>
          <w:p w14:paraId="6FD4CF18" w14:textId="77777777" w:rsidR="00E72243" w:rsidRPr="00331929" w:rsidRDefault="009C1915" w:rsidP="006803AD">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r>
              <w:rPr>
                <w:rFonts w:ascii="Times New Roman" w:eastAsiaTheme="minorEastAsia" w:hAnsi="Times New Roman" w:cs="Times New Roman"/>
                <w:b/>
                <w:color w:val="auto"/>
                <w:sz w:val="20"/>
                <w:szCs w:val="20"/>
              </w:rPr>
              <w:t>SENASA</w:t>
            </w:r>
            <w:r w:rsidR="004C3527">
              <w:rPr>
                <w:rFonts w:ascii="Times New Roman" w:eastAsiaTheme="minorEastAsia" w:hAnsi="Times New Roman" w:cs="Times New Roman"/>
                <w:b/>
                <w:color w:val="auto"/>
                <w:sz w:val="20"/>
                <w:szCs w:val="20"/>
              </w:rPr>
              <w:t xml:space="preserve"> 2018</w:t>
            </w:r>
          </w:p>
        </w:tc>
        <w:tc>
          <w:tcPr>
            <w:tcW w:w="1210" w:type="pct"/>
            <w:tcBorders>
              <w:top w:val="none" w:sz="0" w:space="0" w:color="auto"/>
              <w:left w:val="none" w:sz="0" w:space="0" w:color="auto"/>
              <w:bottom w:val="none" w:sz="0" w:space="0" w:color="auto"/>
              <w:right w:val="none" w:sz="0" w:space="0" w:color="auto"/>
            </w:tcBorders>
          </w:tcPr>
          <w:p w14:paraId="5219C34E" w14:textId="77777777" w:rsidR="00E72243" w:rsidRPr="00331929" w:rsidRDefault="00E72243" w:rsidP="006803AD">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lang w:val="es-ES"/>
              </w:rPr>
            </w:pPr>
            <w:r w:rsidRPr="00331929">
              <w:rPr>
                <w:rFonts w:ascii="Times New Roman" w:eastAsiaTheme="minorEastAsia" w:hAnsi="Times New Roman" w:cs="Times New Roman"/>
                <w:b/>
                <w:color w:val="auto"/>
                <w:sz w:val="20"/>
                <w:szCs w:val="20"/>
                <w:lang w:val="es-ES"/>
              </w:rPr>
              <w:t>CNA 2018</w:t>
            </w:r>
          </w:p>
        </w:tc>
        <w:tc>
          <w:tcPr>
            <w:tcW w:w="1210" w:type="pct"/>
            <w:tcBorders>
              <w:top w:val="none" w:sz="0" w:space="0" w:color="auto"/>
              <w:left w:val="none" w:sz="0" w:space="0" w:color="auto"/>
              <w:bottom w:val="none" w:sz="0" w:space="0" w:color="auto"/>
              <w:right w:val="none" w:sz="0" w:space="0" w:color="auto"/>
            </w:tcBorders>
          </w:tcPr>
          <w:p w14:paraId="41665D47" w14:textId="77777777" w:rsidR="00E72243" w:rsidRPr="00331929" w:rsidRDefault="009C1915" w:rsidP="006803AD">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r>
              <w:rPr>
                <w:rFonts w:ascii="Times New Roman" w:eastAsiaTheme="minorEastAsia" w:hAnsi="Times New Roman" w:cs="Times New Roman"/>
                <w:b/>
                <w:color w:val="auto"/>
                <w:sz w:val="20"/>
                <w:szCs w:val="20"/>
                <w:lang w:val="es-ES"/>
              </w:rPr>
              <w:t>Diferencia</w:t>
            </w:r>
          </w:p>
        </w:tc>
      </w:tr>
      <w:tr w:rsidR="008162B8" w:rsidRPr="00331929" w14:paraId="15F10D9C" w14:textId="77777777" w:rsidTr="008162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4" w:type="pct"/>
            <w:tcBorders>
              <w:top w:val="none" w:sz="0" w:space="0" w:color="auto"/>
              <w:left w:val="none" w:sz="0" w:space="0" w:color="auto"/>
              <w:bottom w:val="none" w:sz="0" w:space="0" w:color="auto"/>
              <w:right w:val="none" w:sz="0" w:space="0" w:color="auto"/>
            </w:tcBorders>
            <w:noWrap/>
          </w:tcPr>
          <w:p w14:paraId="403A8FE4" w14:textId="0571ABB9" w:rsidR="00E72243" w:rsidRPr="00331929" w:rsidRDefault="00E72243" w:rsidP="006803AD">
            <w:pPr>
              <w:jc w:val="center"/>
              <w:rPr>
                <w:rFonts w:ascii="Times New Roman" w:eastAsiaTheme="minorEastAsia" w:hAnsi="Times New Roman" w:cs="Times New Roman"/>
                <w:b/>
                <w:color w:val="auto"/>
                <w:sz w:val="20"/>
                <w:szCs w:val="20"/>
              </w:rPr>
            </w:pPr>
            <w:r w:rsidRPr="00331929">
              <w:rPr>
                <w:rFonts w:ascii="Times New Roman" w:eastAsiaTheme="minorEastAsia" w:hAnsi="Times New Roman" w:cs="Times New Roman"/>
                <w:b/>
                <w:color w:val="auto"/>
                <w:sz w:val="20"/>
                <w:szCs w:val="20"/>
                <w:lang w:val="es-ES"/>
              </w:rPr>
              <w:t>Bovinos</w:t>
            </w:r>
          </w:p>
        </w:tc>
        <w:tc>
          <w:tcPr>
            <w:tcW w:w="1646" w:type="pct"/>
            <w:tcBorders>
              <w:top w:val="none" w:sz="0" w:space="0" w:color="auto"/>
              <w:left w:val="none" w:sz="0" w:space="0" w:color="auto"/>
              <w:bottom w:val="none" w:sz="0" w:space="0" w:color="auto"/>
              <w:right w:val="none" w:sz="0" w:space="0" w:color="auto"/>
            </w:tcBorders>
          </w:tcPr>
          <w:p w14:paraId="21AEFEF0" w14:textId="77777777" w:rsidR="00E72243" w:rsidRPr="00331929" w:rsidRDefault="00E72243" w:rsidP="00182CDC">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0"/>
                <w:szCs w:val="20"/>
              </w:rPr>
            </w:pPr>
            <w:r w:rsidRPr="00331929">
              <w:rPr>
                <w:rFonts w:ascii="Times New Roman" w:eastAsiaTheme="minorEastAsia" w:hAnsi="Times New Roman" w:cs="Times New Roman"/>
                <w:color w:val="auto"/>
                <w:sz w:val="20"/>
                <w:szCs w:val="20"/>
                <w:lang w:val="es-ES"/>
              </w:rPr>
              <w:t>1.348.469</w:t>
            </w:r>
          </w:p>
        </w:tc>
        <w:tc>
          <w:tcPr>
            <w:tcW w:w="1210" w:type="pct"/>
            <w:tcBorders>
              <w:top w:val="none" w:sz="0" w:space="0" w:color="auto"/>
              <w:left w:val="none" w:sz="0" w:space="0" w:color="auto"/>
              <w:bottom w:val="none" w:sz="0" w:space="0" w:color="auto"/>
              <w:right w:val="none" w:sz="0" w:space="0" w:color="auto"/>
            </w:tcBorders>
          </w:tcPr>
          <w:p w14:paraId="5177003F" w14:textId="77777777" w:rsidR="00E72243" w:rsidRPr="00331929" w:rsidRDefault="00E72243" w:rsidP="00182CDC">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0"/>
                <w:szCs w:val="20"/>
              </w:rPr>
            </w:pPr>
            <w:r w:rsidRPr="00331929">
              <w:rPr>
                <w:rFonts w:ascii="Times New Roman" w:eastAsiaTheme="minorEastAsia" w:hAnsi="Times New Roman" w:cs="Times New Roman"/>
                <w:color w:val="auto"/>
                <w:sz w:val="20"/>
                <w:szCs w:val="20"/>
              </w:rPr>
              <w:t>830.144</w:t>
            </w:r>
          </w:p>
        </w:tc>
        <w:tc>
          <w:tcPr>
            <w:tcW w:w="1210" w:type="pct"/>
            <w:tcBorders>
              <w:top w:val="none" w:sz="0" w:space="0" w:color="auto"/>
              <w:left w:val="none" w:sz="0" w:space="0" w:color="auto"/>
              <w:bottom w:val="none" w:sz="0" w:space="0" w:color="auto"/>
            </w:tcBorders>
          </w:tcPr>
          <w:p w14:paraId="5D516087" w14:textId="77777777" w:rsidR="00E72243" w:rsidRPr="00331929" w:rsidRDefault="00E72243" w:rsidP="00182CDC">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0"/>
                <w:szCs w:val="20"/>
              </w:rPr>
            </w:pPr>
            <w:r w:rsidRPr="00331929">
              <w:rPr>
                <w:rFonts w:ascii="Times New Roman" w:eastAsiaTheme="minorEastAsia" w:hAnsi="Times New Roman" w:cs="Times New Roman"/>
                <w:color w:val="auto"/>
                <w:sz w:val="20"/>
                <w:szCs w:val="20"/>
              </w:rPr>
              <w:t>518.325</w:t>
            </w:r>
          </w:p>
        </w:tc>
      </w:tr>
      <w:tr w:rsidR="008162B8" w:rsidRPr="00331929" w14:paraId="48B2E15B" w14:textId="77777777" w:rsidTr="008162B8">
        <w:trPr>
          <w:jc w:val="center"/>
        </w:trPr>
        <w:tc>
          <w:tcPr>
            <w:cnfStyle w:val="001000000000" w:firstRow="0" w:lastRow="0" w:firstColumn="1" w:lastColumn="0" w:oddVBand="0" w:evenVBand="0" w:oddHBand="0" w:evenHBand="0" w:firstRowFirstColumn="0" w:firstRowLastColumn="0" w:lastRowFirstColumn="0" w:lastRowLastColumn="0"/>
            <w:tcW w:w="934" w:type="pct"/>
            <w:tcBorders>
              <w:top w:val="none" w:sz="0" w:space="0" w:color="auto"/>
              <w:left w:val="none" w:sz="0" w:space="0" w:color="auto"/>
              <w:bottom w:val="none" w:sz="0" w:space="0" w:color="auto"/>
              <w:right w:val="none" w:sz="0" w:space="0" w:color="auto"/>
            </w:tcBorders>
            <w:noWrap/>
          </w:tcPr>
          <w:p w14:paraId="5BA3E918" w14:textId="77777777" w:rsidR="00E72243" w:rsidRPr="00331929" w:rsidRDefault="00E72243" w:rsidP="006803AD">
            <w:pPr>
              <w:jc w:val="center"/>
              <w:rPr>
                <w:rFonts w:ascii="Times New Roman" w:eastAsiaTheme="minorEastAsia" w:hAnsi="Times New Roman" w:cs="Times New Roman"/>
                <w:b/>
                <w:color w:val="auto"/>
                <w:sz w:val="20"/>
                <w:szCs w:val="20"/>
              </w:rPr>
            </w:pPr>
            <w:r w:rsidRPr="00331929">
              <w:rPr>
                <w:rFonts w:ascii="Times New Roman" w:eastAsiaTheme="minorEastAsia" w:hAnsi="Times New Roman" w:cs="Times New Roman"/>
                <w:b/>
                <w:color w:val="auto"/>
                <w:sz w:val="20"/>
                <w:szCs w:val="20"/>
                <w:lang w:val="es-ES"/>
              </w:rPr>
              <w:t>Ovinos</w:t>
            </w:r>
          </w:p>
        </w:tc>
        <w:tc>
          <w:tcPr>
            <w:tcW w:w="1646" w:type="pct"/>
          </w:tcPr>
          <w:p w14:paraId="3A322C3D" w14:textId="77777777" w:rsidR="00E72243" w:rsidRPr="00331929" w:rsidRDefault="00E72243" w:rsidP="00182CDC">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0"/>
                <w:szCs w:val="20"/>
              </w:rPr>
            </w:pPr>
            <w:r w:rsidRPr="00331929">
              <w:rPr>
                <w:rFonts w:ascii="Times New Roman" w:eastAsiaTheme="minorEastAsia" w:hAnsi="Times New Roman" w:cs="Times New Roman"/>
                <w:color w:val="auto"/>
                <w:sz w:val="20"/>
                <w:szCs w:val="20"/>
                <w:lang w:val="es-ES"/>
              </w:rPr>
              <w:t>219.734</w:t>
            </w:r>
          </w:p>
        </w:tc>
        <w:tc>
          <w:tcPr>
            <w:tcW w:w="1210" w:type="pct"/>
          </w:tcPr>
          <w:p w14:paraId="31D7F6EE" w14:textId="77777777" w:rsidR="00E72243" w:rsidRPr="00331929" w:rsidRDefault="00E72243" w:rsidP="00182CDC">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0"/>
                <w:szCs w:val="20"/>
              </w:rPr>
            </w:pPr>
            <w:r w:rsidRPr="00331929">
              <w:rPr>
                <w:rFonts w:ascii="Times New Roman" w:eastAsiaTheme="minorEastAsia" w:hAnsi="Times New Roman" w:cs="Times New Roman"/>
                <w:color w:val="auto"/>
                <w:sz w:val="20"/>
                <w:szCs w:val="20"/>
              </w:rPr>
              <w:t>156.975</w:t>
            </w:r>
          </w:p>
        </w:tc>
        <w:tc>
          <w:tcPr>
            <w:tcW w:w="1210" w:type="pct"/>
          </w:tcPr>
          <w:p w14:paraId="4528C8F9" w14:textId="77777777" w:rsidR="00E72243" w:rsidRPr="00331929" w:rsidRDefault="00E72243" w:rsidP="00182CDC">
            <w:pPr>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0"/>
                <w:szCs w:val="20"/>
              </w:rPr>
            </w:pPr>
            <w:r w:rsidRPr="00331929">
              <w:rPr>
                <w:rFonts w:ascii="Times New Roman" w:eastAsiaTheme="minorEastAsia" w:hAnsi="Times New Roman" w:cs="Times New Roman"/>
                <w:color w:val="auto"/>
                <w:sz w:val="20"/>
                <w:szCs w:val="20"/>
              </w:rPr>
              <w:t>103.026</w:t>
            </w:r>
          </w:p>
        </w:tc>
      </w:tr>
      <w:tr w:rsidR="008162B8" w:rsidRPr="00331929" w14:paraId="114AFD90" w14:textId="77777777" w:rsidTr="008162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4" w:type="pct"/>
            <w:tcBorders>
              <w:top w:val="none" w:sz="0" w:space="0" w:color="auto"/>
              <w:left w:val="none" w:sz="0" w:space="0" w:color="auto"/>
              <w:bottom w:val="none" w:sz="0" w:space="0" w:color="auto"/>
              <w:right w:val="none" w:sz="0" w:space="0" w:color="auto"/>
            </w:tcBorders>
            <w:noWrap/>
          </w:tcPr>
          <w:p w14:paraId="117C454A" w14:textId="74D58144" w:rsidR="00E72243" w:rsidRPr="00331929" w:rsidRDefault="00E72243" w:rsidP="006803AD">
            <w:pPr>
              <w:jc w:val="center"/>
              <w:rPr>
                <w:rFonts w:ascii="Times New Roman" w:eastAsiaTheme="minorEastAsia" w:hAnsi="Times New Roman" w:cs="Times New Roman"/>
                <w:b/>
                <w:color w:val="auto"/>
                <w:sz w:val="20"/>
                <w:szCs w:val="20"/>
              </w:rPr>
            </w:pPr>
            <w:r w:rsidRPr="00331929">
              <w:rPr>
                <w:rFonts w:ascii="Times New Roman" w:eastAsiaTheme="minorEastAsia" w:hAnsi="Times New Roman" w:cs="Times New Roman"/>
                <w:b/>
                <w:color w:val="auto"/>
                <w:sz w:val="20"/>
                <w:szCs w:val="20"/>
                <w:lang w:val="es-ES"/>
              </w:rPr>
              <w:t>Caprinos</w:t>
            </w:r>
          </w:p>
        </w:tc>
        <w:tc>
          <w:tcPr>
            <w:tcW w:w="1646" w:type="pct"/>
            <w:tcBorders>
              <w:top w:val="none" w:sz="0" w:space="0" w:color="auto"/>
              <w:left w:val="none" w:sz="0" w:space="0" w:color="auto"/>
              <w:bottom w:val="none" w:sz="0" w:space="0" w:color="auto"/>
              <w:right w:val="none" w:sz="0" w:space="0" w:color="auto"/>
            </w:tcBorders>
          </w:tcPr>
          <w:p w14:paraId="677AEA91" w14:textId="77777777" w:rsidR="00E72243" w:rsidRPr="00331929" w:rsidRDefault="00E72243" w:rsidP="00182CDC">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0"/>
                <w:szCs w:val="20"/>
              </w:rPr>
            </w:pPr>
            <w:r w:rsidRPr="00331929">
              <w:rPr>
                <w:rFonts w:ascii="Times New Roman" w:eastAsiaTheme="minorEastAsia" w:hAnsi="Times New Roman" w:cs="Times New Roman"/>
                <w:color w:val="auto"/>
                <w:sz w:val="20"/>
                <w:szCs w:val="20"/>
                <w:lang w:val="es-ES"/>
              </w:rPr>
              <w:t>348.476</w:t>
            </w:r>
          </w:p>
        </w:tc>
        <w:tc>
          <w:tcPr>
            <w:tcW w:w="1210" w:type="pct"/>
            <w:tcBorders>
              <w:top w:val="none" w:sz="0" w:space="0" w:color="auto"/>
              <w:left w:val="none" w:sz="0" w:space="0" w:color="auto"/>
              <w:bottom w:val="none" w:sz="0" w:space="0" w:color="auto"/>
              <w:right w:val="none" w:sz="0" w:space="0" w:color="auto"/>
            </w:tcBorders>
          </w:tcPr>
          <w:p w14:paraId="7185AFD6" w14:textId="77777777" w:rsidR="00E72243" w:rsidRPr="00331929" w:rsidRDefault="00E72243" w:rsidP="00182CDC">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0"/>
                <w:szCs w:val="20"/>
              </w:rPr>
            </w:pPr>
            <w:r w:rsidRPr="00331929">
              <w:rPr>
                <w:rFonts w:ascii="Times New Roman" w:eastAsiaTheme="minorEastAsia" w:hAnsi="Times New Roman" w:cs="Times New Roman"/>
                <w:color w:val="auto"/>
                <w:sz w:val="20"/>
                <w:szCs w:val="20"/>
              </w:rPr>
              <w:t>116.708</w:t>
            </w:r>
          </w:p>
        </w:tc>
        <w:tc>
          <w:tcPr>
            <w:tcW w:w="1210" w:type="pct"/>
            <w:tcBorders>
              <w:top w:val="none" w:sz="0" w:space="0" w:color="auto"/>
              <w:left w:val="none" w:sz="0" w:space="0" w:color="auto"/>
              <w:bottom w:val="none" w:sz="0" w:space="0" w:color="auto"/>
            </w:tcBorders>
          </w:tcPr>
          <w:p w14:paraId="30B7ABEA" w14:textId="77777777" w:rsidR="00E72243" w:rsidRPr="00331929" w:rsidRDefault="00E72243" w:rsidP="00182CDC">
            <w:pPr>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0"/>
                <w:szCs w:val="20"/>
              </w:rPr>
            </w:pPr>
            <w:r w:rsidRPr="00331929">
              <w:rPr>
                <w:rFonts w:ascii="Times New Roman" w:eastAsiaTheme="minorEastAsia" w:hAnsi="Times New Roman" w:cs="Times New Roman"/>
                <w:color w:val="auto"/>
                <w:sz w:val="20"/>
                <w:szCs w:val="20"/>
              </w:rPr>
              <w:t>191.501</w:t>
            </w:r>
          </w:p>
        </w:tc>
      </w:tr>
    </w:tbl>
    <w:p w14:paraId="04EE30B8" w14:textId="77777777" w:rsidR="006C5F8E" w:rsidRPr="00331929" w:rsidRDefault="00B03554" w:rsidP="006803AD">
      <w:pPr>
        <w:spacing w:before="120" w:after="120" w:line="240" w:lineRule="auto"/>
        <w:ind w:left="142"/>
        <w:jc w:val="center"/>
        <w:rPr>
          <w:rFonts w:ascii="Times New Roman" w:hAnsi="Times New Roman" w:cs="Times New Roman"/>
          <w:sz w:val="20"/>
          <w:szCs w:val="20"/>
          <w:lang w:val="es-AR"/>
        </w:rPr>
      </w:pPr>
      <w:r w:rsidRPr="00331929">
        <w:rPr>
          <w:rFonts w:ascii="Times New Roman" w:hAnsi="Times New Roman" w:cs="Times New Roman"/>
          <w:sz w:val="20"/>
          <w:szCs w:val="20"/>
          <w:lang w:val="es-AR"/>
        </w:rPr>
        <w:t>Fuente: Elaboración propia en base a datos de</w:t>
      </w:r>
      <w:r w:rsidRPr="00331929">
        <w:rPr>
          <w:rFonts w:ascii="Times New Roman" w:hAnsi="Times New Roman" w:cs="Times New Roman"/>
          <w:b/>
          <w:sz w:val="20"/>
          <w:szCs w:val="20"/>
          <w:lang w:val="es-AR"/>
        </w:rPr>
        <w:t xml:space="preserve"> </w:t>
      </w:r>
      <w:r w:rsidRPr="00331929">
        <w:rPr>
          <w:rFonts w:ascii="Times New Roman" w:hAnsi="Times New Roman" w:cs="Times New Roman"/>
          <w:sz w:val="20"/>
          <w:szCs w:val="20"/>
          <w:lang w:val="es-AR"/>
        </w:rPr>
        <w:t>Siste</w:t>
      </w:r>
      <w:r w:rsidR="009C1915">
        <w:rPr>
          <w:rFonts w:ascii="Times New Roman" w:hAnsi="Times New Roman" w:cs="Times New Roman"/>
          <w:sz w:val="20"/>
          <w:szCs w:val="20"/>
          <w:lang w:val="es-AR"/>
        </w:rPr>
        <w:t>ma de Gestión Sanitaria (SIGSA)</w:t>
      </w:r>
      <w:r w:rsidRPr="00331929">
        <w:rPr>
          <w:rFonts w:ascii="Times New Roman" w:hAnsi="Times New Roman" w:cs="Times New Roman"/>
          <w:sz w:val="20"/>
          <w:szCs w:val="20"/>
          <w:lang w:val="es-AR"/>
        </w:rPr>
        <w:t xml:space="preserve"> de la Dirección Nacional de Sanidad Animal </w:t>
      </w:r>
      <w:r w:rsidR="00043956" w:rsidRPr="00331929">
        <w:rPr>
          <w:rFonts w:ascii="Times New Roman" w:hAnsi="Times New Roman" w:cs="Times New Roman"/>
          <w:sz w:val="20"/>
          <w:szCs w:val="20"/>
          <w:lang w:val="es-AR"/>
        </w:rPr>
        <w:t xml:space="preserve">de SENASA </w:t>
      </w:r>
      <w:r w:rsidR="00E72243" w:rsidRPr="00331929">
        <w:rPr>
          <w:rFonts w:ascii="Times New Roman" w:hAnsi="Times New Roman" w:cs="Times New Roman"/>
          <w:sz w:val="20"/>
          <w:szCs w:val="20"/>
          <w:lang w:val="es-AR"/>
        </w:rPr>
        <w:t>(</w:t>
      </w:r>
      <w:r w:rsidR="00BC4A79" w:rsidRPr="00331929">
        <w:rPr>
          <w:rFonts w:ascii="Times New Roman" w:hAnsi="Times New Roman" w:cs="Times New Roman"/>
          <w:sz w:val="20"/>
          <w:szCs w:val="20"/>
          <w:lang w:val="es-AR"/>
        </w:rPr>
        <w:t xml:space="preserve">Existencia ganadera </w:t>
      </w:r>
      <w:r w:rsidR="00E72243" w:rsidRPr="00331929">
        <w:rPr>
          <w:rFonts w:ascii="Times New Roman" w:hAnsi="Times New Roman" w:cs="Times New Roman"/>
          <w:sz w:val="20"/>
          <w:szCs w:val="20"/>
          <w:lang w:val="es-AR"/>
        </w:rPr>
        <w:t>a</w:t>
      </w:r>
      <w:r w:rsidR="006C5F8E" w:rsidRPr="00331929">
        <w:rPr>
          <w:rFonts w:ascii="Times New Roman" w:hAnsi="Times New Roman" w:cs="Times New Roman"/>
          <w:sz w:val="20"/>
          <w:szCs w:val="20"/>
          <w:lang w:val="es-AR"/>
        </w:rPr>
        <w:t>l 31/03/2018</w:t>
      </w:r>
      <w:r w:rsidR="00E72243" w:rsidRPr="00331929">
        <w:rPr>
          <w:rFonts w:ascii="Times New Roman" w:hAnsi="Times New Roman" w:cs="Times New Roman"/>
          <w:sz w:val="20"/>
          <w:szCs w:val="20"/>
          <w:lang w:val="es-AR"/>
        </w:rPr>
        <w:t>).</w:t>
      </w:r>
    </w:p>
    <w:p w14:paraId="40CFA72F" w14:textId="595ADD27" w:rsidR="00B03554" w:rsidRPr="00331929" w:rsidRDefault="00B03554" w:rsidP="00AC03A4">
      <w:pPr>
        <w:spacing w:after="0"/>
        <w:ind w:left="142" w:firstLine="578"/>
        <w:jc w:val="both"/>
        <w:rPr>
          <w:rFonts w:ascii="Times New Roman" w:hAnsi="Times New Roman" w:cs="Times New Roman"/>
          <w:lang w:val="es-AR"/>
        </w:rPr>
      </w:pPr>
      <w:r w:rsidRPr="00331929">
        <w:rPr>
          <w:rFonts w:ascii="Times New Roman" w:hAnsi="Times New Roman" w:cs="Times New Roman"/>
          <w:lang w:val="es-AR"/>
        </w:rPr>
        <w:lastRenderedPageBreak/>
        <w:t xml:space="preserve">Observamos un significativo contraste entre los registros de SENASA y los del CNA 2018, situación que nos permite considerar la posibilidad de un </w:t>
      </w:r>
      <w:r w:rsidR="009C1915">
        <w:rPr>
          <w:rFonts w:ascii="Times New Roman" w:hAnsi="Times New Roman" w:cs="Times New Roman"/>
          <w:lang w:val="es-AR"/>
        </w:rPr>
        <w:t xml:space="preserve">serio </w:t>
      </w:r>
      <w:r w:rsidRPr="00331929">
        <w:rPr>
          <w:rFonts w:ascii="Times New Roman" w:hAnsi="Times New Roman" w:cs="Times New Roman"/>
          <w:lang w:val="es-AR"/>
        </w:rPr>
        <w:t>problema de sub</w:t>
      </w:r>
      <w:r w:rsidR="00182CDC">
        <w:rPr>
          <w:rFonts w:ascii="Times New Roman" w:hAnsi="Times New Roman" w:cs="Times New Roman"/>
          <w:lang w:val="es-AR"/>
        </w:rPr>
        <w:t>-registro en el c</w:t>
      </w:r>
      <w:r w:rsidRPr="00331929">
        <w:rPr>
          <w:rFonts w:ascii="Times New Roman" w:hAnsi="Times New Roman" w:cs="Times New Roman"/>
          <w:lang w:val="es-AR"/>
        </w:rPr>
        <w:t xml:space="preserve">enso, </w:t>
      </w:r>
      <w:r w:rsidR="009C1915">
        <w:rPr>
          <w:rFonts w:ascii="Times New Roman" w:hAnsi="Times New Roman" w:cs="Times New Roman"/>
          <w:lang w:val="es-AR"/>
        </w:rPr>
        <w:t xml:space="preserve">lo </w:t>
      </w:r>
      <w:r w:rsidRPr="00331929">
        <w:rPr>
          <w:rFonts w:ascii="Times New Roman" w:hAnsi="Times New Roman" w:cs="Times New Roman"/>
          <w:lang w:val="es-AR"/>
        </w:rPr>
        <w:t>que se suma a las situaciones anteriormente planteadas</w:t>
      </w:r>
      <w:r w:rsidR="00A249CA" w:rsidRPr="00331929">
        <w:rPr>
          <w:rFonts w:ascii="Times New Roman" w:hAnsi="Times New Roman" w:cs="Times New Roman"/>
          <w:lang w:val="es-AR"/>
        </w:rPr>
        <w:t>.</w:t>
      </w:r>
    </w:p>
    <w:p w14:paraId="794D9395" w14:textId="30A94CE3" w:rsidR="00B03554" w:rsidRPr="00331929" w:rsidRDefault="00B03554" w:rsidP="00AC03A4">
      <w:pPr>
        <w:spacing w:after="0"/>
        <w:ind w:left="142" w:firstLine="578"/>
        <w:jc w:val="both"/>
        <w:rPr>
          <w:rFonts w:ascii="Times New Roman" w:hAnsi="Times New Roman" w:cs="Times New Roman"/>
          <w:shd w:val="clear" w:color="auto" w:fill="FFFFFF"/>
          <w:lang w:val="es-AR"/>
        </w:rPr>
      </w:pPr>
      <w:r w:rsidRPr="00331929">
        <w:rPr>
          <w:rFonts w:ascii="Times New Roman" w:hAnsi="Times New Roman" w:cs="Times New Roman"/>
          <w:lang w:val="es-AR"/>
        </w:rPr>
        <w:t>C</w:t>
      </w:r>
      <w:r w:rsidR="00921D27" w:rsidRPr="00331929">
        <w:rPr>
          <w:rFonts w:ascii="Times New Roman" w:hAnsi="Times New Roman" w:cs="Times New Roman"/>
          <w:lang w:val="es-AR"/>
        </w:rPr>
        <w:t>omo</w:t>
      </w:r>
      <w:r w:rsidRPr="00331929">
        <w:rPr>
          <w:rFonts w:ascii="Times New Roman" w:hAnsi="Times New Roman" w:cs="Times New Roman"/>
          <w:lang w:val="es-AR"/>
        </w:rPr>
        <w:t xml:space="preserve"> señala</w:t>
      </w:r>
      <w:r w:rsidR="00921D27" w:rsidRPr="00331929">
        <w:rPr>
          <w:rFonts w:ascii="Times New Roman" w:hAnsi="Times New Roman" w:cs="Times New Roman"/>
          <w:lang w:val="es-AR"/>
        </w:rPr>
        <w:t xml:space="preserve">mos anteriormente, </w:t>
      </w:r>
      <w:r w:rsidR="00A249CA" w:rsidRPr="00331929">
        <w:rPr>
          <w:rFonts w:ascii="Times New Roman" w:hAnsi="Times New Roman" w:cs="Times New Roman"/>
          <w:lang w:val="es-AR"/>
        </w:rPr>
        <w:t>durante el período intercensal analizado, como consecuencia de</w:t>
      </w:r>
      <w:r w:rsidR="00043956" w:rsidRPr="00331929">
        <w:rPr>
          <w:rFonts w:ascii="Times New Roman" w:hAnsi="Times New Roman" w:cs="Times New Roman"/>
          <w:lang w:val="es-AR"/>
        </w:rPr>
        <w:t xml:space="preserve">l proceso de </w:t>
      </w:r>
      <w:r w:rsidR="006803AD">
        <w:rPr>
          <w:rFonts w:ascii="Times New Roman" w:hAnsi="Times New Roman" w:cs="Times New Roman"/>
          <w:lang w:val="es-AR"/>
        </w:rPr>
        <w:t>“</w:t>
      </w:r>
      <w:r w:rsidR="00A249CA" w:rsidRPr="00331929">
        <w:rPr>
          <w:rFonts w:ascii="Times New Roman" w:hAnsi="Times New Roman" w:cs="Times New Roman"/>
          <w:lang w:val="es-AR"/>
        </w:rPr>
        <w:t>agriculturización</w:t>
      </w:r>
      <w:r w:rsidR="006803AD">
        <w:rPr>
          <w:rFonts w:ascii="Times New Roman" w:hAnsi="Times New Roman" w:cs="Times New Roman"/>
          <w:lang w:val="es-AR"/>
        </w:rPr>
        <w:t>”</w:t>
      </w:r>
      <w:r w:rsidR="00E72243" w:rsidRPr="00331929">
        <w:rPr>
          <w:rFonts w:ascii="Times New Roman" w:hAnsi="Times New Roman" w:cs="Times New Roman"/>
          <w:lang w:val="es-AR"/>
        </w:rPr>
        <w:t xml:space="preserve"> que se llevó a cabo</w:t>
      </w:r>
      <w:r w:rsidR="00A249CA" w:rsidRPr="00331929">
        <w:rPr>
          <w:rFonts w:ascii="Times New Roman" w:hAnsi="Times New Roman" w:cs="Times New Roman"/>
          <w:lang w:val="es-AR"/>
        </w:rPr>
        <w:t xml:space="preserve"> </w:t>
      </w:r>
      <w:r w:rsidR="00043956" w:rsidRPr="00331929">
        <w:rPr>
          <w:rFonts w:ascii="Times New Roman" w:hAnsi="Times New Roman" w:cs="Times New Roman"/>
          <w:lang w:val="es-AR"/>
        </w:rPr>
        <w:t xml:space="preserve">en el </w:t>
      </w:r>
      <w:r w:rsidR="00A249CA" w:rsidRPr="00331929">
        <w:rPr>
          <w:rFonts w:ascii="Times New Roman" w:hAnsi="Times New Roman" w:cs="Times New Roman"/>
          <w:lang w:val="es-AR"/>
        </w:rPr>
        <w:t>norte</w:t>
      </w:r>
      <w:r w:rsidR="00BC4A79" w:rsidRPr="00331929">
        <w:rPr>
          <w:rFonts w:ascii="Times New Roman" w:hAnsi="Times New Roman" w:cs="Times New Roman"/>
          <w:lang w:val="es-AR"/>
        </w:rPr>
        <w:t xml:space="preserve">, </w:t>
      </w:r>
      <w:r w:rsidR="00043956" w:rsidRPr="00331929">
        <w:rPr>
          <w:rFonts w:ascii="Times New Roman" w:hAnsi="Times New Roman" w:cs="Times New Roman"/>
          <w:lang w:val="es-AR"/>
        </w:rPr>
        <w:t>este y sur</w:t>
      </w:r>
      <w:r w:rsidR="00A249CA" w:rsidRPr="00331929">
        <w:rPr>
          <w:rFonts w:ascii="Times New Roman" w:hAnsi="Times New Roman" w:cs="Times New Roman"/>
          <w:lang w:val="es-AR"/>
        </w:rPr>
        <w:t>este de la provincia</w:t>
      </w:r>
      <w:r w:rsidR="00E72243" w:rsidRPr="00331929">
        <w:rPr>
          <w:rFonts w:ascii="Times New Roman" w:hAnsi="Times New Roman" w:cs="Times New Roman"/>
          <w:lang w:val="es-AR"/>
        </w:rPr>
        <w:t>,</w:t>
      </w:r>
      <w:r w:rsidR="00A249CA" w:rsidRPr="00331929">
        <w:rPr>
          <w:rFonts w:ascii="Times New Roman" w:hAnsi="Times New Roman" w:cs="Times New Roman"/>
          <w:lang w:val="es-AR"/>
        </w:rPr>
        <w:t xml:space="preserve"> se produjo una </w:t>
      </w:r>
      <w:r w:rsidR="00D30DD9" w:rsidRPr="00331929">
        <w:rPr>
          <w:rFonts w:ascii="Times New Roman" w:hAnsi="Times New Roman" w:cs="Times New Roman"/>
          <w:lang w:val="es-AR"/>
        </w:rPr>
        <w:t>intensificación</w:t>
      </w:r>
      <w:r w:rsidR="00A249CA" w:rsidRPr="00331929">
        <w:rPr>
          <w:rFonts w:ascii="Times New Roman" w:hAnsi="Times New Roman" w:cs="Times New Roman"/>
          <w:lang w:val="es-AR"/>
        </w:rPr>
        <w:t xml:space="preserve"> de los sistemas ganaderos</w:t>
      </w:r>
      <w:r w:rsidR="00D30DD9" w:rsidRPr="00331929">
        <w:rPr>
          <w:rFonts w:ascii="Times New Roman" w:hAnsi="Times New Roman" w:cs="Times New Roman"/>
          <w:lang w:val="es-AR"/>
        </w:rPr>
        <w:t xml:space="preserve"> </w:t>
      </w:r>
      <w:r w:rsidR="006C5F8E" w:rsidRPr="00331929">
        <w:rPr>
          <w:rFonts w:ascii="Times New Roman" w:hAnsi="Times New Roman" w:cs="Times New Roman"/>
          <w:lang w:val="es-AR"/>
        </w:rPr>
        <w:t>bovinos</w:t>
      </w:r>
      <w:r w:rsidR="00043956" w:rsidRPr="00331929">
        <w:rPr>
          <w:rFonts w:ascii="Times New Roman" w:hAnsi="Times New Roman" w:cs="Times New Roman"/>
          <w:lang w:val="es-AR"/>
        </w:rPr>
        <w:t xml:space="preserve"> con el objetivo de mantener la producción</w:t>
      </w:r>
      <w:r w:rsidR="00043956" w:rsidRPr="00331929">
        <w:rPr>
          <w:rFonts w:ascii="Times New Roman" w:hAnsi="Times New Roman" w:cs="Times New Roman"/>
          <w:shd w:val="clear" w:color="auto" w:fill="FFFFFF"/>
          <w:lang w:val="es-AR"/>
        </w:rPr>
        <w:t>; la</w:t>
      </w:r>
      <w:r w:rsidR="006C5F8E" w:rsidRPr="00331929">
        <w:rPr>
          <w:rFonts w:ascii="Times New Roman" w:hAnsi="Times New Roman" w:cs="Times New Roman"/>
          <w:shd w:val="clear" w:color="auto" w:fill="FFFFFF"/>
          <w:lang w:val="es-AR"/>
        </w:rPr>
        <w:t xml:space="preserve"> actividad</w:t>
      </w:r>
      <w:r w:rsidR="00D30DD9" w:rsidRPr="00331929">
        <w:rPr>
          <w:rFonts w:ascii="Times New Roman" w:hAnsi="Times New Roman" w:cs="Times New Roman"/>
          <w:shd w:val="clear" w:color="auto" w:fill="FFFFFF"/>
          <w:lang w:val="es-AR"/>
        </w:rPr>
        <w:t xml:space="preserve"> de </w:t>
      </w:r>
      <w:r w:rsidR="006640CC" w:rsidRPr="00331929">
        <w:rPr>
          <w:rFonts w:ascii="Times New Roman" w:hAnsi="Times New Roman" w:cs="Times New Roman"/>
          <w:shd w:val="clear" w:color="auto" w:fill="FFFFFF"/>
          <w:lang w:val="es-AR"/>
        </w:rPr>
        <w:t>cría</w:t>
      </w:r>
      <w:r w:rsidR="00D30DD9" w:rsidRPr="00331929">
        <w:rPr>
          <w:rFonts w:ascii="Times New Roman" w:hAnsi="Times New Roman" w:cs="Times New Roman"/>
          <w:shd w:val="clear" w:color="auto" w:fill="FFFFFF"/>
          <w:lang w:val="es-AR"/>
        </w:rPr>
        <w:t xml:space="preserve"> se expandió a campos de inferior calidad</w:t>
      </w:r>
      <w:r w:rsidR="00043956" w:rsidRPr="00331929">
        <w:rPr>
          <w:rFonts w:ascii="Times New Roman" w:hAnsi="Times New Roman" w:cs="Times New Roman"/>
          <w:shd w:val="clear" w:color="auto" w:fill="FFFFFF"/>
          <w:lang w:val="es-AR"/>
        </w:rPr>
        <w:t xml:space="preserve">, con un desarrollo sustentado en </w:t>
      </w:r>
      <w:r w:rsidR="0011293D" w:rsidRPr="00331929">
        <w:rPr>
          <w:rFonts w:ascii="Times New Roman" w:hAnsi="Times New Roman" w:cs="Times New Roman"/>
          <w:shd w:val="clear" w:color="auto" w:fill="FFFFFF"/>
          <w:lang w:val="es-AR"/>
        </w:rPr>
        <w:t xml:space="preserve">una diversidad </w:t>
      </w:r>
      <w:r w:rsidR="006C5F8E" w:rsidRPr="00331929">
        <w:rPr>
          <w:rFonts w:ascii="Times New Roman" w:hAnsi="Times New Roman" w:cs="Times New Roman"/>
          <w:shd w:val="clear" w:color="auto" w:fill="FFFFFF"/>
          <w:lang w:val="es-AR"/>
        </w:rPr>
        <w:t xml:space="preserve">de </w:t>
      </w:r>
      <w:r w:rsidR="0011293D" w:rsidRPr="00331929">
        <w:rPr>
          <w:rFonts w:ascii="Times New Roman" w:hAnsi="Times New Roman" w:cs="Times New Roman"/>
          <w:shd w:val="clear" w:color="auto" w:fill="FFFFFF"/>
          <w:lang w:val="es-AR"/>
        </w:rPr>
        <w:t>propuestas tecnológicas</w:t>
      </w:r>
      <w:r w:rsidR="00043956" w:rsidRPr="00331929">
        <w:rPr>
          <w:rFonts w:ascii="Times New Roman" w:hAnsi="Times New Roman" w:cs="Times New Roman"/>
          <w:shd w:val="clear" w:color="auto" w:fill="FFFFFF"/>
          <w:lang w:val="es-AR"/>
        </w:rPr>
        <w:t xml:space="preserve"> (</w:t>
      </w:r>
      <w:r w:rsidR="00346E9F" w:rsidRPr="00331929">
        <w:rPr>
          <w:rFonts w:ascii="Times New Roman" w:hAnsi="Times New Roman" w:cs="Times New Roman"/>
          <w:shd w:val="clear" w:color="auto" w:fill="FFFFFF"/>
          <w:lang w:val="es-AR"/>
        </w:rPr>
        <w:t xml:space="preserve">implantación de pasturas </w:t>
      </w:r>
      <w:r w:rsidR="00043956" w:rsidRPr="00331929">
        <w:rPr>
          <w:rFonts w:ascii="Times New Roman" w:hAnsi="Times New Roman" w:cs="Times New Roman"/>
          <w:shd w:val="clear" w:color="auto" w:fill="FFFFFF"/>
          <w:lang w:val="es-AR"/>
        </w:rPr>
        <w:t>mega térmicas</w:t>
      </w:r>
      <w:r w:rsidR="00E72243" w:rsidRPr="00331929">
        <w:rPr>
          <w:rFonts w:ascii="Times New Roman" w:hAnsi="Times New Roman" w:cs="Times New Roman"/>
          <w:shd w:val="clear" w:color="auto" w:fill="FFFFFF"/>
          <w:lang w:val="es-AR"/>
        </w:rPr>
        <w:t xml:space="preserve"> y</w:t>
      </w:r>
      <w:r w:rsidR="00346E9F" w:rsidRPr="00331929">
        <w:rPr>
          <w:rFonts w:ascii="Times New Roman" w:hAnsi="Times New Roman" w:cs="Times New Roman"/>
          <w:shd w:val="clear" w:color="auto" w:fill="FFFFFF"/>
          <w:lang w:val="es-AR"/>
        </w:rPr>
        <w:t xml:space="preserve"> </w:t>
      </w:r>
      <w:r w:rsidR="00BC4A79" w:rsidRPr="00331929">
        <w:rPr>
          <w:rFonts w:ascii="Times New Roman" w:hAnsi="Times New Roman" w:cs="Times New Roman"/>
          <w:shd w:val="clear" w:color="auto" w:fill="FFFFFF"/>
          <w:lang w:val="es-AR"/>
        </w:rPr>
        <w:t>desbajerado</w:t>
      </w:r>
      <w:r w:rsidR="00E72243" w:rsidRPr="00331929">
        <w:rPr>
          <w:rFonts w:ascii="Times New Roman" w:hAnsi="Times New Roman" w:cs="Times New Roman"/>
          <w:shd w:val="clear" w:color="auto" w:fill="FFFFFF"/>
          <w:lang w:val="es-AR"/>
        </w:rPr>
        <w:t>, entre otras</w:t>
      </w:r>
      <w:r w:rsidR="00043956" w:rsidRPr="00331929">
        <w:rPr>
          <w:rFonts w:ascii="Times New Roman" w:hAnsi="Times New Roman" w:cs="Times New Roman"/>
          <w:shd w:val="clear" w:color="auto" w:fill="FFFFFF"/>
          <w:lang w:val="es-AR"/>
        </w:rPr>
        <w:t xml:space="preserve">), </w:t>
      </w:r>
      <w:r w:rsidR="00EC5E68">
        <w:rPr>
          <w:rFonts w:ascii="Times New Roman" w:hAnsi="Times New Roman" w:cs="Times New Roman"/>
          <w:shd w:val="clear" w:color="auto" w:fill="FFFFFF"/>
          <w:lang w:val="es-AR"/>
        </w:rPr>
        <w:t xml:space="preserve">en tanto </w:t>
      </w:r>
      <w:r w:rsidR="0011293D" w:rsidRPr="00331929">
        <w:rPr>
          <w:rFonts w:ascii="Times New Roman" w:hAnsi="Times New Roman" w:cs="Times New Roman"/>
          <w:shd w:val="clear" w:color="auto" w:fill="FFFFFF"/>
          <w:lang w:val="es-AR"/>
        </w:rPr>
        <w:t xml:space="preserve">que </w:t>
      </w:r>
      <w:r w:rsidR="006640CC" w:rsidRPr="00331929">
        <w:rPr>
          <w:rFonts w:ascii="Times New Roman" w:hAnsi="Times New Roman" w:cs="Times New Roman"/>
          <w:shd w:val="clear" w:color="auto" w:fill="FFFFFF"/>
          <w:lang w:val="es-AR"/>
        </w:rPr>
        <w:t>la terminación</w:t>
      </w:r>
      <w:r w:rsidR="00D30DD9" w:rsidRPr="00331929">
        <w:rPr>
          <w:rFonts w:ascii="Times New Roman" w:hAnsi="Times New Roman" w:cs="Times New Roman"/>
          <w:shd w:val="clear" w:color="auto" w:fill="FFFFFF"/>
          <w:lang w:val="es-AR"/>
        </w:rPr>
        <w:t xml:space="preserve"> o engorde</w:t>
      </w:r>
      <w:r w:rsidR="00E72243" w:rsidRPr="00331929">
        <w:rPr>
          <w:rFonts w:ascii="Times New Roman" w:hAnsi="Times New Roman" w:cs="Times New Roman"/>
          <w:shd w:val="clear" w:color="auto" w:fill="FFFFFF"/>
          <w:lang w:val="es-AR"/>
        </w:rPr>
        <w:t xml:space="preserve">, en gran medida </w:t>
      </w:r>
      <w:r w:rsidR="00D30DD9" w:rsidRPr="00331929">
        <w:rPr>
          <w:rFonts w:ascii="Times New Roman" w:hAnsi="Times New Roman" w:cs="Times New Roman"/>
          <w:shd w:val="clear" w:color="auto" w:fill="FFFFFF"/>
          <w:lang w:val="es-AR"/>
        </w:rPr>
        <w:t xml:space="preserve">pasó a realizarse </w:t>
      </w:r>
      <w:r w:rsidR="00E72243" w:rsidRPr="00331929">
        <w:rPr>
          <w:rFonts w:ascii="Times New Roman" w:hAnsi="Times New Roman" w:cs="Times New Roman"/>
          <w:shd w:val="clear" w:color="auto" w:fill="FFFFFF"/>
          <w:lang w:val="es-AR"/>
        </w:rPr>
        <w:t xml:space="preserve">de manera intensiva en sistemas de confinamiento en </w:t>
      </w:r>
      <w:r w:rsidR="004C3527">
        <w:rPr>
          <w:rFonts w:ascii="Times New Roman" w:hAnsi="Times New Roman" w:cs="Times New Roman"/>
          <w:shd w:val="clear" w:color="auto" w:fill="FFFFFF"/>
          <w:lang w:val="es-AR"/>
        </w:rPr>
        <w:t>corrales.</w:t>
      </w:r>
    </w:p>
    <w:p w14:paraId="3023AF58" w14:textId="77777777" w:rsidR="00910BE5" w:rsidRPr="00331929" w:rsidRDefault="006640CC" w:rsidP="00AC03A4">
      <w:pPr>
        <w:spacing w:after="0"/>
        <w:ind w:left="142" w:firstLine="578"/>
        <w:jc w:val="both"/>
        <w:rPr>
          <w:rFonts w:ascii="Times New Roman" w:hAnsi="Times New Roman" w:cs="Times New Roman"/>
          <w:lang w:val="es-AR"/>
        </w:rPr>
      </w:pPr>
      <w:r w:rsidRPr="00331929">
        <w:rPr>
          <w:rFonts w:ascii="Times New Roman" w:hAnsi="Times New Roman" w:cs="Times New Roman"/>
          <w:lang w:val="es-AR"/>
        </w:rPr>
        <w:t xml:space="preserve">El engorde a </w:t>
      </w:r>
      <w:r w:rsidR="00D30DD9" w:rsidRPr="00331929">
        <w:rPr>
          <w:rFonts w:ascii="Times New Roman" w:hAnsi="Times New Roman" w:cs="Times New Roman"/>
          <w:lang w:val="es-AR"/>
        </w:rPr>
        <w:t xml:space="preserve">campo en Salta </w:t>
      </w:r>
      <w:r w:rsidR="00E72243" w:rsidRPr="00331929">
        <w:rPr>
          <w:rFonts w:ascii="Times New Roman" w:hAnsi="Times New Roman" w:cs="Times New Roman"/>
          <w:lang w:val="es-AR"/>
        </w:rPr>
        <w:t>y en todo el NOA es de ciclo más largo,</w:t>
      </w:r>
      <w:r w:rsidR="00EC5E68">
        <w:rPr>
          <w:rFonts w:ascii="Times New Roman" w:hAnsi="Times New Roman" w:cs="Times New Roman"/>
          <w:lang w:val="es-AR"/>
        </w:rPr>
        <w:t xml:space="preserve"> comparado con la Pampa h</w:t>
      </w:r>
      <w:r w:rsidRPr="00331929">
        <w:rPr>
          <w:rFonts w:ascii="Times New Roman" w:hAnsi="Times New Roman" w:cs="Times New Roman"/>
          <w:lang w:val="es-AR"/>
        </w:rPr>
        <w:t>úmeda,</w:t>
      </w:r>
      <w:r w:rsidR="00D30DD9" w:rsidRPr="00331929">
        <w:rPr>
          <w:rFonts w:ascii="Times New Roman" w:hAnsi="Times New Roman" w:cs="Times New Roman"/>
          <w:lang w:val="es-AR"/>
        </w:rPr>
        <w:t xml:space="preserve"> debido a la presencia de una</w:t>
      </w:r>
      <w:r w:rsidR="00EC5E68">
        <w:rPr>
          <w:rFonts w:ascii="Times New Roman" w:hAnsi="Times New Roman" w:cs="Times New Roman"/>
          <w:lang w:val="es-AR"/>
        </w:rPr>
        <w:t xml:space="preserve"> estación seca con 6 a</w:t>
      </w:r>
      <w:r w:rsidRPr="00331929">
        <w:rPr>
          <w:rFonts w:ascii="Times New Roman" w:hAnsi="Times New Roman" w:cs="Times New Roman"/>
          <w:lang w:val="es-AR"/>
        </w:rPr>
        <w:t xml:space="preserve"> 7 meses al año sin precipitaciones y baja o nu</w:t>
      </w:r>
      <w:r w:rsidR="00E72243" w:rsidRPr="00331929">
        <w:rPr>
          <w:rFonts w:ascii="Times New Roman" w:hAnsi="Times New Roman" w:cs="Times New Roman"/>
          <w:lang w:val="es-AR"/>
        </w:rPr>
        <w:t>la disponibilidad de pasturas. P</w:t>
      </w:r>
      <w:r w:rsidRPr="00331929">
        <w:rPr>
          <w:rFonts w:ascii="Times New Roman" w:hAnsi="Times New Roman" w:cs="Times New Roman"/>
          <w:lang w:val="es-AR"/>
        </w:rPr>
        <w:t>or esto</w:t>
      </w:r>
      <w:r w:rsidR="00E72243" w:rsidRPr="00331929">
        <w:rPr>
          <w:rFonts w:ascii="Times New Roman" w:hAnsi="Times New Roman" w:cs="Times New Roman"/>
          <w:lang w:val="es-AR"/>
        </w:rPr>
        <w:t>,</w:t>
      </w:r>
      <w:r w:rsidRPr="00331929">
        <w:rPr>
          <w:rFonts w:ascii="Times New Roman" w:hAnsi="Times New Roman" w:cs="Times New Roman"/>
          <w:lang w:val="es-AR"/>
        </w:rPr>
        <w:t xml:space="preserve"> el encierre en corrales brindó un</w:t>
      </w:r>
      <w:r w:rsidR="00D30DD9" w:rsidRPr="00331929">
        <w:rPr>
          <w:rFonts w:ascii="Times New Roman" w:hAnsi="Times New Roman" w:cs="Times New Roman"/>
          <w:lang w:val="es-AR"/>
        </w:rPr>
        <w:t>a importante alternativa para acortar el ci</w:t>
      </w:r>
      <w:r w:rsidR="00E72243" w:rsidRPr="00331929">
        <w:rPr>
          <w:rFonts w:ascii="Times New Roman" w:hAnsi="Times New Roman" w:cs="Times New Roman"/>
          <w:lang w:val="es-AR"/>
        </w:rPr>
        <w:t xml:space="preserve">clo de terminación del ganado, </w:t>
      </w:r>
      <w:r w:rsidR="00D30DD9" w:rsidRPr="00331929">
        <w:rPr>
          <w:rFonts w:ascii="Times New Roman" w:hAnsi="Times New Roman" w:cs="Times New Roman"/>
          <w:lang w:val="es-AR"/>
        </w:rPr>
        <w:t xml:space="preserve">potenciado por otras ventajas </w:t>
      </w:r>
      <w:r w:rsidRPr="00331929">
        <w:rPr>
          <w:rFonts w:ascii="Times New Roman" w:hAnsi="Times New Roman" w:cs="Times New Roman"/>
          <w:lang w:val="es-AR"/>
        </w:rPr>
        <w:t xml:space="preserve">comparativas interesantes, como </w:t>
      </w:r>
      <w:r w:rsidR="00E72243" w:rsidRPr="00331929">
        <w:rPr>
          <w:rFonts w:ascii="Times New Roman" w:hAnsi="Times New Roman" w:cs="Times New Roman"/>
          <w:lang w:val="es-AR"/>
        </w:rPr>
        <w:t>la disponibilidad d</w:t>
      </w:r>
      <w:r w:rsidRPr="00331929">
        <w:rPr>
          <w:rFonts w:ascii="Times New Roman" w:hAnsi="Times New Roman" w:cs="Times New Roman"/>
          <w:lang w:val="es-AR"/>
        </w:rPr>
        <w:t>el recurso maíz a precios inferiores, comparados con otras regiones</w:t>
      </w:r>
      <w:r w:rsidR="00E72243" w:rsidRPr="00331929">
        <w:rPr>
          <w:rFonts w:ascii="Times New Roman" w:hAnsi="Times New Roman" w:cs="Times New Roman"/>
          <w:lang w:val="es-AR"/>
        </w:rPr>
        <w:t xml:space="preserve"> del país</w:t>
      </w:r>
      <w:r w:rsidRPr="00331929">
        <w:rPr>
          <w:rFonts w:ascii="Times New Roman" w:hAnsi="Times New Roman" w:cs="Times New Roman"/>
          <w:lang w:val="es-AR"/>
        </w:rPr>
        <w:t xml:space="preserve"> </w:t>
      </w:r>
      <w:r w:rsidR="00E72243" w:rsidRPr="00331929">
        <w:rPr>
          <w:rFonts w:ascii="Times New Roman" w:hAnsi="Times New Roman" w:cs="Times New Roman"/>
          <w:lang w:val="es-AR"/>
        </w:rPr>
        <w:t>(</w:t>
      </w:r>
      <w:r w:rsidRPr="00331929">
        <w:rPr>
          <w:rFonts w:ascii="Times New Roman" w:hAnsi="Times New Roman" w:cs="Times New Roman"/>
          <w:lang w:val="es-AR"/>
        </w:rPr>
        <w:t>de hasta un 20%</w:t>
      </w:r>
      <w:r w:rsidR="00E72243" w:rsidRPr="00331929">
        <w:rPr>
          <w:rFonts w:ascii="Times New Roman" w:hAnsi="Times New Roman" w:cs="Times New Roman"/>
          <w:lang w:val="es-AR"/>
        </w:rPr>
        <w:t>), debido a</w:t>
      </w:r>
      <w:r w:rsidRPr="00331929">
        <w:rPr>
          <w:rFonts w:ascii="Times New Roman" w:hAnsi="Times New Roman" w:cs="Times New Roman"/>
          <w:lang w:val="es-AR"/>
        </w:rPr>
        <w:t xml:space="preserve"> la </w:t>
      </w:r>
      <w:r w:rsidR="00E72243" w:rsidRPr="00331929">
        <w:rPr>
          <w:rFonts w:ascii="Times New Roman" w:hAnsi="Times New Roman" w:cs="Times New Roman"/>
          <w:lang w:val="es-AR"/>
        </w:rPr>
        <w:t xml:space="preserve">mayor </w:t>
      </w:r>
      <w:r w:rsidRPr="00331929">
        <w:rPr>
          <w:rFonts w:ascii="Times New Roman" w:hAnsi="Times New Roman" w:cs="Times New Roman"/>
          <w:lang w:val="es-AR"/>
        </w:rPr>
        <w:t>distancia al puerto de Rosario</w:t>
      </w:r>
      <w:r w:rsidR="0011293D" w:rsidRPr="00331929">
        <w:rPr>
          <w:rFonts w:ascii="Times New Roman" w:hAnsi="Times New Roman" w:cs="Times New Roman"/>
          <w:lang w:val="es-AR"/>
        </w:rPr>
        <w:t xml:space="preserve"> y </w:t>
      </w:r>
      <w:r w:rsidR="00D30DD9" w:rsidRPr="00331929">
        <w:rPr>
          <w:rFonts w:ascii="Times New Roman" w:hAnsi="Times New Roman" w:cs="Times New Roman"/>
          <w:lang w:val="es-AR"/>
        </w:rPr>
        <w:t xml:space="preserve">una mejor sanidad </w:t>
      </w:r>
      <w:r w:rsidR="00E72243" w:rsidRPr="00331929">
        <w:rPr>
          <w:rFonts w:ascii="Times New Roman" w:hAnsi="Times New Roman" w:cs="Times New Roman"/>
          <w:lang w:val="es-AR"/>
        </w:rPr>
        <w:t xml:space="preserve">del ganado confinado, debido a la larga </w:t>
      </w:r>
      <w:r w:rsidRPr="00331929">
        <w:rPr>
          <w:rFonts w:ascii="Times New Roman" w:hAnsi="Times New Roman" w:cs="Times New Roman"/>
          <w:lang w:val="es-AR"/>
        </w:rPr>
        <w:t>estación seca</w:t>
      </w:r>
      <w:r w:rsidR="00E72243" w:rsidRPr="00331929">
        <w:rPr>
          <w:rFonts w:ascii="Times New Roman" w:hAnsi="Times New Roman" w:cs="Times New Roman"/>
          <w:lang w:val="es-AR"/>
        </w:rPr>
        <w:t>.</w:t>
      </w:r>
      <w:r w:rsidRPr="00331929">
        <w:rPr>
          <w:rFonts w:ascii="Times New Roman" w:hAnsi="Times New Roman" w:cs="Times New Roman"/>
          <w:lang w:val="es-AR"/>
        </w:rPr>
        <w:t xml:space="preserve"> </w:t>
      </w:r>
    </w:p>
    <w:p w14:paraId="640A9251" w14:textId="77777777" w:rsidR="00F41B48" w:rsidRPr="00331929" w:rsidRDefault="0011293D" w:rsidP="00AC03A4">
      <w:pPr>
        <w:spacing w:after="0"/>
        <w:ind w:left="142" w:firstLine="578"/>
        <w:jc w:val="both"/>
        <w:rPr>
          <w:rFonts w:ascii="Times New Roman" w:hAnsi="Times New Roman" w:cs="Times New Roman"/>
          <w:lang w:val="es-AR"/>
        </w:rPr>
      </w:pPr>
      <w:r w:rsidRPr="00331929">
        <w:rPr>
          <w:rFonts w:ascii="Times New Roman" w:hAnsi="Times New Roman" w:cs="Times New Roman"/>
          <w:lang w:val="es-AR"/>
        </w:rPr>
        <w:t>Asimismo,</w:t>
      </w:r>
      <w:r w:rsidR="00910BE5" w:rsidRPr="00331929">
        <w:rPr>
          <w:rFonts w:ascii="Times New Roman" w:hAnsi="Times New Roman" w:cs="Times New Roman"/>
          <w:lang w:val="es-AR"/>
        </w:rPr>
        <w:t xml:space="preserve"> se constata</w:t>
      </w:r>
      <w:r w:rsidR="00E72243" w:rsidRPr="00331929">
        <w:rPr>
          <w:rFonts w:ascii="Times New Roman" w:hAnsi="Times New Roman" w:cs="Times New Roman"/>
          <w:lang w:val="es-AR"/>
        </w:rPr>
        <w:t>n</w:t>
      </w:r>
      <w:r w:rsidR="00910BE5" w:rsidRPr="00331929">
        <w:rPr>
          <w:rFonts w:ascii="Times New Roman" w:hAnsi="Times New Roman" w:cs="Times New Roman"/>
          <w:lang w:val="es-AR"/>
        </w:rPr>
        <w:t xml:space="preserve"> incipientes procesos de </w:t>
      </w:r>
      <w:r w:rsidR="00F41B48" w:rsidRPr="00331929">
        <w:rPr>
          <w:rFonts w:ascii="Times New Roman" w:hAnsi="Times New Roman" w:cs="Times New Roman"/>
          <w:lang w:val="es-AR"/>
        </w:rPr>
        <w:t>reconversión</w:t>
      </w:r>
      <w:r w:rsidR="00910BE5" w:rsidRPr="00331929">
        <w:rPr>
          <w:rFonts w:ascii="Times New Roman" w:hAnsi="Times New Roman" w:cs="Times New Roman"/>
          <w:lang w:val="es-AR"/>
        </w:rPr>
        <w:t xml:space="preserve"> productiva</w:t>
      </w:r>
      <w:r w:rsidR="00E72243" w:rsidRPr="00331929">
        <w:rPr>
          <w:rFonts w:ascii="Times New Roman" w:hAnsi="Times New Roman" w:cs="Times New Roman"/>
          <w:lang w:val="es-AR"/>
        </w:rPr>
        <w:t xml:space="preserve"> en</w:t>
      </w:r>
      <w:r w:rsidR="00F41B48" w:rsidRPr="00331929">
        <w:rPr>
          <w:rFonts w:ascii="Times New Roman" w:hAnsi="Times New Roman" w:cs="Times New Roman"/>
          <w:lang w:val="es-AR"/>
        </w:rPr>
        <w:t xml:space="preserve"> la zona del Valle de Lerma, donde antiguos productores tabacaleros, año a año incursionan en </w:t>
      </w:r>
      <w:r w:rsidR="00BC507F" w:rsidRPr="00331929">
        <w:rPr>
          <w:rFonts w:ascii="Times New Roman" w:hAnsi="Times New Roman" w:cs="Times New Roman"/>
          <w:lang w:val="es-AR"/>
        </w:rPr>
        <w:t>la actividad ganadera,</w:t>
      </w:r>
      <w:r w:rsidR="00F41B48" w:rsidRPr="00331929">
        <w:rPr>
          <w:rFonts w:ascii="Times New Roman" w:hAnsi="Times New Roman" w:cs="Times New Roman"/>
          <w:lang w:val="es-AR"/>
        </w:rPr>
        <w:t xml:space="preserve"> conformando hoy un núcleo relevante de engordadores de </w:t>
      </w:r>
      <w:r w:rsidR="001B4373" w:rsidRPr="00331929">
        <w:rPr>
          <w:rFonts w:ascii="Times New Roman" w:hAnsi="Times New Roman" w:cs="Times New Roman"/>
          <w:lang w:val="es-AR"/>
        </w:rPr>
        <w:t>novillos</w:t>
      </w:r>
      <w:r w:rsidR="00BC507F" w:rsidRPr="00331929">
        <w:rPr>
          <w:rFonts w:ascii="Times New Roman" w:hAnsi="Times New Roman" w:cs="Times New Roman"/>
          <w:lang w:val="es-AR"/>
        </w:rPr>
        <w:t>. S</w:t>
      </w:r>
      <w:r w:rsidR="001B4373" w:rsidRPr="00331929">
        <w:rPr>
          <w:rFonts w:ascii="Times New Roman" w:hAnsi="Times New Roman" w:cs="Times New Roman"/>
          <w:lang w:val="es-AR"/>
        </w:rPr>
        <w:t>egún</w:t>
      </w:r>
      <w:r w:rsidRPr="00331929">
        <w:rPr>
          <w:rFonts w:ascii="Times New Roman" w:hAnsi="Times New Roman" w:cs="Times New Roman"/>
          <w:lang w:val="es-AR"/>
        </w:rPr>
        <w:t xml:space="preserve"> </w:t>
      </w:r>
      <w:r w:rsidR="00BC4A79" w:rsidRPr="00331929">
        <w:rPr>
          <w:rFonts w:ascii="Times New Roman" w:hAnsi="Times New Roman" w:cs="Times New Roman"/>
          <w:lang w:val="es-AR"/>
        </w:rPr>
        <w:t>datos</w:t>
      </w:r>
      <w:r w:rsidRPr="00331929">
        <w:rPr>
          <w:rFonts w:ascii="Times New Roman" w:hAnsi="Times New Roman" w:cs="Times New Roman"/>
          <w:lang w:val="es-AR"/>
        </w:rPr>
        <w:t xml:space="preserve"> de SENASA</w:t>
      </w:r>
      <w:r w:rsidR="00BC507F" w:rsidRPr="00331929">
        <w:rPr>
          <w:rFonts w:ascii="Times New Roman" w:hAnsi="Times New Roman" w:cs="Times New Roman"/>
          <w:lang w:val="es-AR"/>
        </w:rPr>
        <w:t>,</w:t>
      </w:r>
      <w:r w:rsidRPr="00331929">
        <w:rPr>
          <w:rFonts w:ascii="Times New Roman" w:hAnsi="Times New Roman" w:cs="Times New Roman"/>
          <w:lang w:val="es-AR"/>
        </w:rPr>
        <w:t xml:space="preserve"> </w:t>
      </w:r>
      <w:r w:rsidR="00F41B48" w:rsidRPr="00331929">
        <w:rPr>
          <w:rFonts w:ascii="Times New Roman" w:hAnsi="Times New Roman" w:cs="Times New Roman"/>
          <w:lang w:val="es-AR"/>
        </w:rPr>
        <w:t>entre el año 2011 y 2012 el stock bovino de las categorías para terminación aumentó un 18% en los de</w:t>
      </w:r>
      <w:r w:rsidRPr="00331929">
        <w:rPr>
          <w:rFonts w:ascii="Times New Roman" w:hAnsi="Times New Roman" w:cs="Times New Roman"/>
          <w:lang w:val="es-AR"/>
        </w:rPr>
        <w:t>partamentos del Valle de Lerma</w:t>
      </w:r>
      <w:r w:rsidR="004C3527">
        <w:rPr>
          <w:rStyle w:val="Refdenotaalpie"/>
          <w:rFonts w:ascii="Times New Roman" w:hAnsi="Times New Roman" w:cs="Times New Roman"/>
          <w:lang w:val="es-AR"/>
        </w:rPr>
        <w:footnoteReference w:id="8"/>
      </w:r>
      <w:r w:rsidRPr="00331929">
        <w:rPr>
          <w:rFonts w:ascii="Times New Roman" w:hAnsi="Times New Roman" w:cs="Times New Roman"/>
          <w:lang w:val="es-AR"/>
        </w:rPr>
        <w:t>.</w:t>
      </w:r>
    </w:p>
    <w:p w14:paraId="049C14FB" w14:textId="3D457258" w:rsidR="00C150F3" w:rsidRPr="00331929" w:rsidRDefault="00C150F3" w:rsidP="00AC03A4">
      <w:pPr>
        <w:spacing w:after="0"/>
        <w:ind w:left="142" w:firstLine="578"/>
        <w:jc w:val="both"/>
        <w:rPr>
          <w:rFonts w:ascii="Times New Roman" w:hAnsi="Times New Roman" w:cs="Times New Roman"/>
          <w:lang w:val="es-AR"/>
        </w:rPr>
      </w:pPr>
      <w:r w:rsidRPr="00331929">
        <w:rPr>
          <w:rFonts w:ascii="Times New Roman" w:hAnsi="Times New Roman" w:cs="Times New Roman"/>
          <w:lang w:val="es-AR"/>
        </w:rPr>
        <w:t xml:space="preserve">La expansión del engorde a </w:t>
      </w:r>
      <w:r w:rsidR="006821C3">
        <w:rPr>
          <w:rFonts w:ascii="Times New Roman" w:hAnsi="Times New Roman" w:cs="Times New Roman"/>
          <w:lang w:val="es-AR"/>
        </w:rPr>
        <w:t>corral pasó</w:t>
      </w:r>
      <w:r w:rsidR="001B4373" w:rsidRPr="00331929">
        <w:rPr>
          <w:rFonts w:ascii="Times New Roman" w:hAnsi="Times New Roman" w:cs="Times New Roman"/>
          <w:lang w:val="es-AR"/>
        </w:rPr>
        <w:t xml:space="preserve"> a ser </w:t>
      </w:r>
      <w:r w:rsidRPr="00331929">
        <w:rPr>
          <w:rFonts w:ascii="Times New Roman" w:hAnsi="Times New Roman" w:cs="Times New Roman"/>
          <w:lang w:val="es-AR"/>
        </w:rPr>
        <w:t>un fenómeno de alta signific</w:t>
      </w:r>
      <w:r w:rsidR="001B4373" w:rsidRPr="00331929">
        <w:rPr>
          <w:rFonts w:ascii="Times New Roman" w:hAnsi="Times New Roman" w:cs="Times New Roman"/>
          <w:lang w:val="es-AR"/>
        </w:rPr>
        <w:t>ancia en la producción ganadera de Salta</w:t>
      </w:r>
      <w:r w:rsidR="00BC507F" w:rsidRPr="00331929">
        <w:rPr>
          <w:rFonts w:ascii="Times New Roman" w:hAnsi="Times New Roman" w:cs="Times New Roman"/>
          <w:lang w:val="es-AR"/>
        </w:rPr>
        <w:t>. E</w:t>
      </w:r>
      <w:r w:rsidR="001B4373" w:rsidRPr="00331929">
        <w:rPr>
          <w:rFonts w:ascii="Times New Roman" w:hAnsi="Times New Roman" w:cs="Times New Roman"/>
          <w:lang w:val="es-AR"/>
        </w:rPr>
        <w:t>l</w:t>
      </w:r>
      <w:r w:rsidRPr="00331929">
        <w:rPr>
          <w:rFonts w:ascii="Times New Roman" w:hAnsi="Times New Roman" w:cs="Times New Roman"/>
          <w:lang w:val="es-AR"/>
        </w:rPr>
        <w:t xml:space="preserve"> primer antecedente </w:t>
      </w:r>
      <w:r w:rsidR="00F83E0D" w:rsidRPr="00331929">
        <w:rPr>
          <w:rFonts w:ascii="Times New Roman" w:hAnsi="Times New Roman" w:cs="Times New Roman"/>
          <w:lang w:val="es-AR"/>
        </w:rPr>
        <w:t xml:space="preserve">data de la década de los noventa en la localidad de Joaquín V. González </w:t>
      </w:r>
      <w:r w:rsidR="00BC4A79" w:rsidRPr="00331929">
        <w:rPr>
          <w:rFonts w:ascii="Times New Roman" w:hAnsi="Times New Roman" w:cs="Times New Roman"/>
          <w:lang w:val="es-AR"/>
        </w:rPr>
        <w:t>(Dpto.</w:t>
      </w:r>
      <w:r w:rsidR="00F83E0D" w:rsidRPr="00331929">
        <w:rPr>
          <w:rFonts w:ascii="Times New Roman" w:hAnsi="Times New Roman" w:cs="Times New Roman"/>
          <w:lang w:val="es-AR"/>
        </w:rPr>
        <w:t xml:space="preserve"> Anta</w:t>
      </w:r>
      <w:r w:rsidR="00BC4A79" w:rsidRPr="00331929">
        <w:rPr>
          <w:rFonts w:ascii="Times New Roman" w:hAnsi="Times New Roman" w:cs="Times New Roman"/>
          <w:lang w:val="es-AR"/>
        </w:rPr>
        <w:t>). Este</w:t>
      </w:r>
      <w:r w:rsidRPr="00331929">
        <w:rPr>
          <w:rFonts w:ascii="Times New Roman" w:hAnsi="Times New Roman" w:cs="Times New Roman"/>
          <w:lang w:val="es-AR"/>
        </w:rPr>
        <w:t xml:space="preserve"> modelo pro</w:t>
      </w:r>
      <w:r w:rsidR="00BC507F" w:rsidRPr="00331929">
        <w:rPr>
          <w:rFonts w:ascii="Times New Roman" w:hAnsi="Times New Roman" w:cs="Times New Roman"/>
          <w:lang w:val="es-AR"/>
        </w:rPr>
        <w:t>ductivo también se expandió al D</w:t>
      </w:r>
      <w:r w:rsidRPr="00331929">
        <w:rPr>
          <w:rFonts w:ascii="Times New Roman" w:hAnsi="Times New Roman" w:cs="Times New Roman"/>
          <w:lang w:val="es-AR"/>
        </w:rPr>
        <w:t>epartamento San</w:t>
      </w:r>
      <w:r w:rsidR="00F83E0D" w:rsidRPr="00331929">
        <w:rPr>
          <w:rFonts w:ascii="Times New Roman" w:hAnsi="Times New Roman" w:cs="Times New Roman"/>
          <w:lang w:val="es-AR"/>
        </w:rPr>
        <w:t xml:space="preserve"> Martín y </w:t>
      </w:r>
      <w:r w:rsidR="00BC4A79" w:rsidRPr="00331929">
        <w:rPr>
          <w:rFonts w:ascii="Times New Roman" w:hAnsi="Times New Roman" w:cs="Times New Roman"/>
          <w:lang w:val="es-AR"/>
        </w:rPr>
        <w:t>como señalábamos</w:t>
      </w:r>
      <w:r w:rsidR="00F83E0D" w:rsidRPr="00331929">
        <w:rPr>
          <w:rFonts w:ascii="Times New Roman" w:hAnsi="Times New Roman" w:cs="Times New Roman"/>
          <w:lang w:val="es-AR"/>
        </w:rPr>
        <w:t xml:space="preserve"> </w:t>
      </w:r>
      <w:r w:rsidR="00BC4A79" w:rsidRPr="00331929">
        <w:rPr>
          <w:rFonts w:ascii="Times New Roman" w:hAnsi="Times New Roman" w:cs="Times New Roman"/>
          <w:lang w:val="es-AR"/>
        </w:rPr>
        <w:t>anteriormente</w:t>
      </w:r>
      <w:r w:rsidR="00BC507F" w:rsidRPr="00331929">
        <w:rPr>
          <w:rFonts w:ascii="Times New Roman" w:hAnsi="Times New Roman" w:cs="Times New Roman"/>
          <w:lang w:val="es-AR"/>
        </w:rPr>
        <w:t>,</w:t>
      </w:r>
      <w:r w:rsidR="00BC4A79" w:rsidRPr="00331929">
        <w:rPr>
          <w:rFonts w:ascii="Times New Roman" w:hAnsi="Times New Roman" w:cs="Times New Roman"/>
          <w:lang w:val="es-AR"/>
        </w:rPr>
        <w:t xml:space="preserve"> al</w:t>
      </w:r>
      <w:r w:rsidRPr="00331929">
        <w:rPr>
          <w:rFonts w:ascii="Times New Roman" w:hAnsi="Times New Roman" w:cs="Times New Roman"/>
          <w:lang w:val="es-AR"/>
        </w:rPr>
        <w:t xml:space="preserve"> Valle de Lerma.</w:t>
      </w:r>
      <w:r w:rsidR="004C3527">
        <w:rPr>
          <w:rFonts w:ascii="Times New Roman" w:hAnsi="Times New Roman" w:cs="Times New Roman"/>
          <w:lang w:val="es-AR"/>
        </w:rPr>
        <w:t xml:space="preserve"> S</w:t>
      </w:r>
      <w:r w:rsidR="004C3527" w:rsidRPr="004C3527">
        <w:rPr>
          <w:rFonts w:ascii="Times New Roman" w:hAnsi="Times New Roman" w:cs="Times New Roman"/>
          <w:lang w:val="es-AR"/>
        </w:rPr>
        <w:t xml:space="preserve">e calcula que el 50% de los animales terminados que llegan </w:t>
      </w:r>
      <w:r w:rsidR="006821C3">
        <w:rPr>
          <w:rFonts w:ascii="Times New Roman" w:hAnsi="Times New Roman" w:cs="Times New Roman"/>
          <w:lang w:val="es-AR"/>
        </w:rPr>
        <w:t xml:space="preserve">actualmente </w:t>
      </w:r>
      <w:r w:rsidR="004C3527" w:rsidRPr="004C3527">
        <w:rPr>
          <w:rFonts w:ascii="Times New Roman" w:hAnsi="Times New Roman" w:cs="Times New Roman"/>
          <w:lang w:val="es-AR"/>
        </w:rPr>
        <w:t>a faena lo hacen a través de un feed lot</w:t>
      </w:r>
      <w:r w:rsidR="004C3527">
        <w:rPr>
          <w:rStyle w:val="Refdenotaalpie"/>
          <w:rFonts w:ascii="Times New Roman" w:hAnsi="Times New Roman" w:cs="Times New Roman"/>
          <w:lang w:val="es-AR"/>
        </w:rPr>
        <w:footnoteReference w:id="9"/>
      </w:r>
      <w:r w:rsidR="004C3527" w:rsidRPr="004C3527">
        <w:rPr>
          <w:rFonts w:ascii="Times New Roman" w:hAnsi="Times New Roman" w:cs="Times New Roman"/>
          <w:lang w:val="es-AR"/>
        </w:rPr>
        <w:t>.</w:t>
      </w:r>
      <w:r w:rsidR="004C3527">
        <w:rPr>
          <w:rFonts w:ascii="Times New Roman" w:hAnsi="Times New Roman" w:cs="Times New Roman"/>
          <w:lang w:val="es-AR"/>
        </w:rPr>
        <w:t xml:space="preserve"> Existen e</w:t>
      </w:r>
      <w:r w:rsidRPr="00331929">
        <w:rPr>
          <w:rFonts w:ascii="Times New Roman" w:hAnsi="Times New Roman" w:cs="Times New Roman"/>
          <w:lang w:val="es-AR"/>
        </w:rPr>
        <w:t>n la provincia 12 establecimientos que realizan engorde a corral, entre los que se destacan por su magnitu</w:t>
      </w:r>
      <w:r w:rsidR="00F83E0D" w:rsidRPr="00331929">
        <w:rPr>
          <w:rFonts w:ascii="Times New Roman" w:hAnsi="Times New Roman" w:cs="Times New Roman"/>
          <w:lang w:val="es-AR"/>
        </w:rPr>
        <w:t xml:space="preserve">d el de la firma Desdelsur </w:t>
      </w:r>
      <w:r w:rsidR="00E32357">
        <w:rPr>
          <w:rFonts w:ascii="Times New Roman" w:hAnsi="Times New Roman" w:cs="Times New Roman"/>
          <w:lang w:val="es-AR"/>
        </w:rPr>
        <w:t xml:space="preserve">S.A. </w:t>
      </w:r>
      <w:r w:rsidR="00F83E0D" w:rsidRPr="00331929">
        <w:rPr>
          <w:rFonts w:ascii="Times New Roman" w:hAnsi="Times New Roman" w:cs="Times New Roman"/>
          <w:lang w:val="es-AR"/>
        </w:rPr>
        <w:t>en T</w:t>
      </w:r>
      <w:r w:rsidRPr="00331929">
        <w:rPr>
          <w:rFonts w:ascii="Times New Roman" w:hAnsi="Times New Roman" w:cs="Times New Roman"/>
          <w:lang w:val="es-AR"/>
        </w:rPr>
        <w:t>a</w:t>
      </w:r>
      <w:r w:rsidR="00F83E0D" w:rsidRPr="00331929">
        <w:rPr>
          <w:rFonts w:ascii="Times New Roman" w:hAnsi="Times New Roman" w:cs="Times New Roman"/>
          <w:lang w:val="es-AR"/>
        </w:rPr>
        <w:t>r</w:t>
      </w:r>
      <w:r w:rsidRPr="00331929">
        <w:rPr>
          <w:rFonts w:ascii="Times New Roman" w:hAnsi="Times New Roman" w:cs="Times New Roman"/>
          <w:lang w:val="es-AR"/>
        </w:rPr>
        <w:t>tagal (</w:t>
      </w:r>
      <w:r w:rsidR="00AF4A1A" w:rsidRPr="00331929">
        <w:rPr>
          <w:rFonts w:ascii="Times New Roman" w:hAnsi="Times New Roman" w:cs="Times New Roman"/>
          <w:lang w:val="es-AR"/>
        </w:rPr>
        <w:t>Dpto.</w:t>
      </w:r>
      <w:r w:rsidRPr="00331929">
        <w:rPr>
          <w:rFonts w:ascii="Times New Roman" w:hAnsi="Times New Roman" w:cs="Times New Roman"/>
          <w:lang w:val="es-AR"/>
        </w:rPr>
        <w:t xml:space="preserve"> San </w:t>
      </w:r>
      <w:r w:rsidR="00AF4A1A" w:rsidRPr="00331929">
        <w:rPr>
          <w:rFonts w:ascii="Times New Roman" w:hAnsi="Times New Roman" w:cs="Times New Roman"/>
          <w:lang w:val="es-AR"/>
        </w:rPr>
        <w:t>Martín</w:t>
      </w:r>
      <w:r w:rsidRPr="00331929">
        <w:rPr>
          <w:rFonts w:ascii="Times New Roman" w:hAnsi="Times New Roman" w:cs="Times New Roman"/>
          <w:lang w:val="es-AR"/>
        </w:rPr>
        <w:t xml:space="preserve">) </w:t>
      </w:r>
      <w:r w:rsidR="0030472B" w:rsidRPr="00331929">
        <w:rPr>
          <w:rFonts w:ascii="Times New Roman" w:hAnsi="Times New Roman" w:cs="Times New Roman"/>
          <w:lang w:val="es-AR"/>
        </w:rPr>
        <w:t xml:space="preserve">y el de Inversora Rio </w:t>
      </w:r>
      <w:r w:rsidR="00AF4A1A" w:rsidRPr="00331929">
        <w:rPr>
          <w:rFonts w:ascii="Times New Roman" w:hAnsi="Times New Roman" w:cs="Times New Roman"/>
          <w:lang w:val="es-AR"/>
        </w:rPr>
        <w:t>Juramento (</w:t>
      </w:r>
      <w:r w:rsidR="00F83E0D" w:rsidRPr="00331929">
        <w:rPr>
          <w:rFonts w:ascii="Times New Roman" w:hAnsi="Times New Roman" w:cs="Times New Roman"/>
          <w:lang w:val="es-AR"/>
        </w:rPr>
        <w:t>Dpto.</w:t>
      </w:r>
      <w:r w:rsidR="008162B8" w:rsidRPr="00331929">
        <w:rPr>
          <w:rFonts w:ascii="Times New Roman" w:hAnsi="Times New Roman" w:cs="Times New Roman"/>
          <w:lang w:val="es-AR"/>
        </w:rPr>
        <w:t xml:space="preserve"> </w:t>
      </w:r>
      <w:r w:rsidR="00F83E0D" w:rsidRPr="00331929">
        <w:rPr>
          <w:rFonts w:ascii="Times New Roman" w:hAnsi="Times New Roman" w:cs="Times New Roman"/>
          <w:lang w:val="es-AR"/>
        </w:rPr>
        <w:t>Anta)</w:t>
      </w:r>
      <w:r w:rsidR="00BC507F" w:rsidRPr="00331929">
        <w:rPr>
          <w:rFonts w:ascii="Times New Roman" w:hAnsi="Times New Roman" w:cs="Times New Roman"/>
          <w:lang w:val="es-AR"/>
        </w:rPr>
        <w:t>,</w:t>
      </w:r>
      <w:r w:rsidR="00F83E0D" w:rsidRPr="00331929">
        <w:rPr>
          <w:rFonts w:ascii="Times New Roman" w:hAnsi="Times New Roman" w:cs="Times New Roman"/>
          <w:lang w:val="es-AR"/>
        </w:rPr>
        <w:t xml:space="preserve"> </w:t>
      </w:r>
      <w:r w:rsidR="0030472B" w:rsidRPr="00331929">
        <w:rPr>
          <w:rFonts w:ascii="Times New Roman" w:hAnsi="Times New Roman" w:cs="Times New Roman"/>
          <w:lang w:val="es-AR"/>
        </w:rPr>
        <w:t xml:space="preserve">que figuran entre los 5 </w:t>
      </w:r>
      <w:r w:rsidR="00F83E0D" w:rsidRPr="00331929">
        <w:rPr>
          <w:rFonts w:ascii="Times New Roman" w:hAnsi="Times New Roman" w:cs="Times New Roman"/>
          <w:lang w:val="es-AR"/>
        </w:rPr>
        <w:t>establecimientos</w:t>
      </w:r>
      <w:r w:rsidR="0030472B" w:rsidRPr="00331929">
        <w:rPr>
          <w:rFonts w:ascii="Times New Roman" w:hAnsi="Times New Roman" w:cs="Times New Roman"/>
          <w:lang w:val="es-AR"/>
        </w:rPr>
        <w:t xml:space="preserve"> más grandes del país.</w:t>
      </w:r>
    </w:p>
    <w:p w14:paraId="72DD95B5" w14:textId="77777777" w:rsidR="00F41B48" w:rsidRPr="00331929" w:rsidRDefault="00AF4A1A" w:rsidP="00AC03A4">
      <w:pPr>
        <w:spacing w:after="0"/>
        <w:ind w:left="142" w:firstLine="578"/>
        <w:jc w:val="both"/>
        <w:rPr>
          <w:rFonts w:ascii="Times New Roman" w:hAnsi="Times New Roman" w:cs="Times New Roman"/>
          <w:lang w:val="es-AR"/>
        </w:rPr>
      </w:pPr>
      <w:r w:rsidRPr="00331929">
        <w:rPr>
          <w:rFonts w:ascii="Times New Roman" w:hAnsi="Times New Roman" w:cs="Times New Roman"/>
          <w:lang w:val="es-AR"/>
        </w:rPr>
        <w:t>Cabe agregar que e</w:t>
      </w:r>
      <w:r w:rsidR="00910BE5" w:rsidRPr="00331929">
        <w:rPr>
          <w:rFonts w:ascii="Times New Roman" w:hAnsi="Times New Roman" w:cs="Times New Roman"/>
          <w:lang w:val="es-AR"/>
        </w:rPr>
        <w:t>l desarrollo ganadero</w:t>
      </w:r>
      <w:r w:rsidR="00A2651F" w:rsidRPr="00331929">
        <w:rPr>
          <w:rFonts w:ascii="Times New Roman" w:hAnsi="Times New Roman" w:cs="Times New Roman"/>
          <w:lang w:val="es-AR"/>
        </w:rPr>
        <w:t>,</w:t>
      </w:r>
      <w:r w:rsidR="00910BE5" w:rsidRPr="00331929">
        <w:rPr>
          <w:rFonts w:ascii="Times New Roman" w:hAnsi="Times New Roman" w:cs="Times New Roman"/>
          <w:lang w:val="es-AR"/>
        </w:rPr>
        <w:t xml:space="preserve"> es </w:t>
      </w:r>
      <w:r w:rsidR="00F83E0D" w:rsidRPr="00331929">
        <w:rPr>
          <w:rFonts w:ascii="Times New Roman" w:hAnsi="Times New Roman" w:cs="Times New Roman"/>
          <w:lang w:val="es-AR"/>
        </w:rPr>
        <w:t xml:space="preserve">parte </w:t>
      </w:r>
      <w:r w:rsidR="00910BE5" w:rsidRPr="00331929">
        <w:rPr>
          <w:rFonts w:ascii="Times New Roman" w:hAnsi="Times New Roman" w:cs="Times New Roman"/>
          <w:lang w:val="es-AR"/>
        </w:rPr>
        <w:t xml:space="preserve">de la agenda pública </w:t>
      </w:r>
      <w:r w:rsidR="00BC507F" w:rsidRPr="00331929">
        <w:rPr>
          <w:rFonts w:ascii="Times New Roman" w:hAnsi="Times New Roman" w:cs="Times New Roman"/>
          <w:lang w:val="es-AR"/>
        </w:rPr>
        <w:t xml:space="preserve">provincial, </w:t>
      </w:r>
      <w:r w:rsidR="00910BE5" w:rsidRPr="00331929">
        <w:rPr>
          <w:rFonts w:ascii="Times New Roman" w:hAnsi="Times New Roman" w:cs="Times New Roman"/>
          <w:lang w:val="es-AR"/>
        </w:rPr>
        <w:t xml:space="preserve">ya que Salta no se autoabastece de carne (importa desde otras regiones más del 70% de la carne bovina que se </w:t>
      </w:r>
      <w:r w:rsidRPr="00331929">
        <w:rPr>
          <w:rFonts w:ascii="Times New Roman" w:hAnsi="Times New Roman" w:cs="Times New Roman"/>
          <w:lang w:val="es-AR"/>
        </w:rPr>
        <w:t>consume)</w:t>
      </w:r>
      <w:r w:rsidR="00910BE5" w:rsidRPr="00331929">
        <w:rPr>
          <w:rFonts w:ascii="Times New Roman" w:hAnsi="Times New Roman" w:cs="Times New Roman"/>
          <w:lang w:val="es-AR"/>
        </w:rPr>
        <w:t xml:space="preserve"> y por las </w:t>
      </w:r>
      <w:r w:rsidR="00F41B48" w:rsidRPr="00331929">
        <w:rPr>
          <w:rFonts w:ascii="Times New Roman" w:hAnsi="Times New Roman" w:cs="Times New Roman"/>
          <w:lang w:val="es-AR"/>
        </w:rPr>
        <w:t>grandes distancias a los puertos y los altos costos de los fletes, convertir granos en carne es una opción que tiene especiales implicancias en la competitividad y el soste</w:t>
      </w:r>
      <w:r w:rsidR="00BC507F" w:rsidRPr="00331929">
        <w:rPr>
          <w:rFonts w:ascii="Times New Roman" w:hAnsi="Times New Roman" w:cs="Times New Roman"/>
          <w:lang w:val="es-AR"/>
        </w:rPr>
        <w:t xml:space="preserve">nimiento de muchos productores. </w:t>
      </w:r>
      <w:r w:rsidR="00910BE5" w:rsidRPr="00331929">
        <w:rPr>
          <w:rFonts w:ascii="Times New Roman" w:hAnsi="Times New Roman" w:cs="Times New Roman"/>
          <w:lang w:val="es-AR"/>
        </w:rPr>
        <w:t>Como dato ilustrativo</w:t>
      </w:r>
      <w:r w:rsidR="006821C3">
        <w:rPr>
          <w:rFonts w:ascii="Times New Roman" w:hAnsi="Times New Roman" w:cs="Times New Roman"/>
          <w:lang w:val="es-AR"/>
        </w:rPr>
        <w:t>,</w:t>
      </w:r>
      <w:r w:rsidR="00910BE5" w:rsidRPr="00331929">
        <w:rPr>
          <w:rFonts w:ascii="Times New Roman" w:hAnsi="Times New Roman" w:cs="Times New Roman"/>
          <w:lang w:val="es-AR"/>
        </w:rPr>
        <w:t xml:space="preserve"> en algunas campañas </w:t>
      </w:r>
      <w:r w:rsidR="00F41B48" w:rsidRPr="00331929">
        <w:rPr>
          <w:rFonts w:ascii="Times New Roman" w:hAnsi="Times New Roman" w:cs="Times New Roman"/>
          <w:lang w:val="es-AR"/>
        </w:rPr>
        <w:t xml:space="preserve">el flete en camiones hasta el puerto de </w:t>
      </w:r>
      <w:r w:rsidR="006821C3">
        <w:rPr>
          <w:rFonts w:ascii="Times New Roman" w:hAnsi="Times New Roman" w:cs="Times New Roman"/>
          <w:lang w:val="es-AR"/>
        </w:rPr>
        <w:t>Rosario (con tarifas que rozaron</w:t>
      </w:r>
      <w:r w:rsidR="00F41B48" w:rsidRPr="00331929">
        <w:rPr>
          <w:rFonts w:ascii="Times New Roman" w:hAnsi="Times New Roman" w:cs="Times New Roman"/>
          <w:lang w:val="es-AR"/>
        </w:rPr>
        <w:t xml:space="preserve"> los 75 dólares por tonelada</w:t>
      </w:r>
      <w:r w:rsidR="00F83E0D" w:rsidRPr="00331929">
        <w:rPr>
          <w:rFonts w:ascii="Times New Roman" w:hAnsi="Times New Roman" w:cs="Times New Roman"/>
          <w:lang w:val="es-AR"/>
        </w:rPr>
        <w:t>)</w:t>
      </w:r>
      <w:r w:rsidR="00F41B48" w:rsidRPr="00331929">
        <w:rPr>
          <w:rFonts w:ascii="Times New Roman" w:hAnsi="Times New Roman" w:cs="Times New Roman"/>
          <w:lang w:val="es-AR"/>
        </w:rPr>
        <w:t xml:space="preserve"> llegó a representar </w:t>
      </w:r>
      <w:r w:rsidR="00BC507F" w:rsidRPr="00331929">
        <w:rPr>
          <w:rFonts w:ascii="Times New Roman" w:hAnsi="Times New Roman" w:cs="Times New Roman"/>
          <w:lang w:val="es-AR"/>
        </w:rPr>
        <w:t>hasta un 50% del costo total de la producción de</w:t>
      </w:r>
      <w:r w:rsidR="00F41B48" w:rsidRPr="00331929">
        <w:rPr>
          <w:rFonts w:ascii="Times New Roman" w:hAnsi="Times New Roman" w:cs="Times New Roman"/>
          <w:lang w:val="es-AR"/>
        </w:rPr>
        <w:t xml:space="preserve"> maíz. </w:t>
      </w:r>
      <w:r w:rsidR="00910BE5" w:rsidRPr="00331929">
        <w:rPr>
          <w:rFonts w:ascii="Times New Roman" w:hAnsi="Times New Roman" w:cs="Times New Roman"/>
          <w:lang w:val="es-AR"/>
        </w:rPr>
        <w:t>En la campaña 2019, el</w:t>
      </w:r>
      <w:r w:rsidR="00F41B48" w:rsidRPr="00331929">
        <w:rPr>
          <w:rFonts w:ascii="Times New Roman" w:hAnsi="Times New Roman" w:cs="Times New Roman"/>
          <w:lang w:val="es-AR"/>
        </w:rPr>
        <w:t xml:space="preserve"> costo del f</w:t>
      </w:r>
      <w:r w:rsidR="00910BE5" w:rsidRPr="00331929">
        <w:rPr>
          <w:rFonts w:ascii="Times New Roman" w:hAnsi="Times New Roman" w:cs="Times New Roman"/>
          <w:lang w:val="es-AR"/>
        </w:rPr>
        <w:t>lete promedi</w:t>
      </w:r>
      <w:r w:rsidR="00F83E0D" w:rsidRPr="00331929">
        <w:rPr>
          <w:rFonts w:ascii="Times New Roman" w:hAnsi="Times New Roman" w:cs="Times New Roman"/>
          <w:lang w:val="es-AR"/>
        </w:rPr>
        <w:t xml:space="preserve">ó </w:t>
      </w:r>
      <w:r w:rsidR="00A2651F" w:rsidRPr="00331929">
        <w:rPr>
          <w:rFonts w:ascii="Times New Roman" w:hAnsi="Times New Roman" w:cs="Times New Roman"/>
          <w:lang w:val="es-AR"/>
        </w:rPr>
        <w:t xml:space="preserve">los 45 </w:t>
      </w:r>
      <w:r w:rsidR="006C5F8E" w:rsidRPr="00331929">
        <w:rPr>
          <w:rFonts w:ascii="Times New Roman" w:hAnsi="Times New Roman" w:cs="Times New Roman"/>
          <w:lang w:val="es-AR"/>
        </w:rPr>
        <w:t>dólares,</w:t>
      </w:r>
      <w:r w:rsidR="00A2651F" w:rsidRPr="00331929">
        <w:rPr>
          <w:rFonts w:ascii="Times New Roman" w:hAnsi="Times New Roman" w:cs="Times New Roman"/>
          <w:lang w:val="es-AR"/>
        </w:rPr>
        <w:t xml:space="preserve"> no </w:t>
      </w:r>
      <w:r w:rsidR="00BC507F" w:rsidRPr="00331929">
        <w:rPr>
          <w:rFonts w:ascii="Times New Roman" w:hAnsi="Times New Roman" w:cs="Times New Roman"/>
          <w:lang w:val="es-AR"/>
        </w:rPr>
        <w:t>obstante</w:t>
      </w:r>
      <w:r w:rsidR="00A2651F" w:rsidRPr="00331929">
        <w:rPr>
          <w:rFonts w:ascii="Times New Roman" w:hAnsi="Times New Roman" w:cs="Times New Roman"/>
          <w:lang w:val="es-AR"/>
        </w:rPr>
        <w:t xml:space="preserve"> esta </w:t>
      </w:r>
      <w:r w:rsidR="006C5F8E" w:rsidRPr="00331929">
        <w:rPr>
          <w:rFonts w:ascii="Times New Roman" w:hAnsi="Times New Roman" w:cs="Times New Roman"/>
          <w:lang w:val="es-AR"/>
        </w:rPr>
        <w:t>baja</w:t>
      </w:r>
      <w:r w:rsidR="00BC507F" w:rsidRPr="00331929">
        <w:rPr>
          <w:rFonts w:ascii="Times New Roman" w:hAnsi="Times New Roman" w:cs="Times New Roman"/>
          <w:lang w:val="es-AR"/>
        </w:rPr>
        <w:t>,</w:t>
      </w:r>
      <w:r w:rsidR="006C5F8E" w:rsidRPr="00331929">
        <w:rPr>
          <w:rFonts w:ascii="Times New Roman" w:hAnsi="Times New Roman" w:cs="Times New Roman"/>
          <w:lang w:val="es-AR"/>
        </w:rPr>
        <w:t xml:space="preserve"> un</w:t>
      </w:r>
      <w:r w:rsidR="00A2651F" w:rsidRPr="00331929">
        <w:rPr>
          <w:rFonts w:ascii="Times New Roman" w:hAnsi="Times New Roman" w:cs="Times New Roman"/>
          <w:lang w:val="es-AR"/>
        </w:rPr>
        <w:t xml:space="preserve"> alto porcentaje </w:t>
      </w:r>
      <w:r w:rsidR="00F41B48" w:rsidRPr="00331929">
        <w:rPr>
          <w:rFonts w:ascii="Times New Roman" w:hAnsi="Times New Roman" w:cs="Times New Roman"/>
          <w:lang w:val="es-AR"/>
        </w:rPr>
        <w:t xml:space="preserve">de la cosecha de maíz </w:t>
      </w:r>
      <w:r w:rsidR="00F83E0D" w:rsidRPr="00331929">
        <w:rPr>
          <w:rFonts w:ascii="Times New Roman" w:hAnsi="Times New Roman" w:cs="Times New Roman"/>
          <w:lang w:val="es-AR"/>
        </w:rPr>
        <w:t xml:space="preserve">continúa </w:t>
      </w:r>
      <w:r w:rsidR="006C5F8E" w:rsidRPr="00331929">
        <w:rPr>
          <w:rFonts w:ascii="Times New Roman" w:hAnsi="Times New Roman" w:cs="Times New Roman"/>
          <w:lang w:val="es-AR"/>
        </w:rPr>
        <w:t>destinándose a</w:t>
      </w:r>
      <w:r w:rsidR="00F83E0D" w:rsidRPr="00331929">
        <w:rPr>
          <w:rFonts w:ascii="Times New Roman" w:hAnsi="Times New Roman" w:cs="Times New Roman"/>
          <w:lang w:val="es-AR"/>
        </w:rPr>
        <w:t xml:space="preserve"> </w:t>
      </w:r>
      <w:r w:rsidR="00F41B48" w:rsidRPr="00331929">
        <w:rPr>
          <w:rFonts w:ascii="Times New Roman" w:hAnsi="Times New Roman" w:cs="Times New Roman"/>
          <w:lang w:val="es-AR"/>
        </w:rPr>
        <w:t>distintas producciones agropecuarias (bovina de carne y leche, porcina y avícola de carne y huevo). Alrededor de un 10% de la cose</w:t>
      </w:r>
      <w:r w:rsidR="00BC507F" w:rsidRPr="00331929">
        <w:rPr>
          <w:rFonts w:ascii="Times New Roman" w:hAnsi="Times New Roman" w:cs="Times New Roman"/>
          <w:lang w:val="es-AR"/>
        </w:rPr>
        <w:t>cha de soja también se vuelca a</w:t>
      </w:r>
      <w:r w:rsidR="00F41B48" w:rsidRPr="00331929">
        <w:rPr>
          <w:rFonts w:ascii="Times New Roman" w:hAnsi="Times New Roman" w:cs="Times New Roman"/>
          <w:lang w:val="es-AR"/>
        </w:rPr>
        <w:t xml:space="preserve"> la alimentación de animales vacunos, cerdos y aves a corral.</w:t>
      </w:r>
    </w:p>
    <w:p w14:paraId="117AA152" w14:textId="022C6559" w:rsidR="00F32680" w:rsidRDefault="00BC507F" w:rsidP="00AC03A4">
      <w:pPr>
        <w:spacing w:after="0"/>
        <w:ind w:left="142" w:firstLine="578"/>
        <w:jc w:val="both"/>
        <w:rPr>
          <w:rFonts w:ascii="Times New Roman" w:hAnsi="Times New Roman" w:cs="Times New Roman"/>
          <w:lang w:val="es-AR"/>
        </w:rPr>
      </w:pPr>
      <w:r w:rsidRPr="00331929">
        <w:rPr>
          <w:rFonts w:ascii="Times New Roman" w:hAnsi="Times New Roman" w:cs="Times New Roman"/>
          <w:lang w:val="es-AR"/>
        </w:rPr>
        <w:t>En contraste con</w:t>
      </w:r>
      <w:r w:rsidR="00AF4A1A" w:rsidRPr="00331929">
        <w:rPr>
          <w:rFonts w:ascii="Times New Roman" w:hAnsi="Times New Roman" w:cs="Times New Roman"/>
          <w:lang w:val="es-AR"/>
        </w:rPr>
        <w:t xml:space="preserve"> la situación descripta</w:t>
      </w:r>
      <w:r w:rsidRPr="00331929">
        <w:rPr>
          <w:rFonts w:ascii="Times New Roman" w:hAnsi="Times New Roman" w:cs="Times New Roman"/>
          <w:lang w:val="es-AR"/>
        </w:rPr>
        <w:t>,</w:t>
      </w:r>
      <w:r w:rsidR="00AF4A1A" w:rsidRPr="00331929">
        <w:rPr>
          <w:rFonts w:ascii="Times New Roman" w:hAnsi="Times New Roman" w:cs="Times New Roman"/>
          <w:lang w:val="es-AR"/>
        </w:rPr>
        <w:t xml:space="preserve"> consideramos que l</w:t>
      </w:r>
      <w:r w:rsidR="00A2651F" w:rsidRPr="00331929">
        <w:rPr>
          <w:rFonts w:ascii="Times New Roman" w:hAnsi="Times New Roman" w:cs="Times New Roman"/>
          <w:lang w:val="es-AR"/>
        </w:rPr>
        <w:t xml:space="preserve">os datos arrojados por el Censo </w:t>
      </w:r>
      <w:r w:rsidRPr="00331929">
        <w:rPr>
          <w:rFonts w:ascii="Times New Roman" w:hAnsi="Times New Roman" w:cs="Times New Roman"/>
          <w:lang w:val="es-AR"/>
        </w:rPr>
        <w:t xml:space="preserve">2018 </w:t>
      </w:r>
      <w:r w:rsidR="00A2651F" w:rsidRPr="00331929">
        <w:rPr>
          <w:rFonts w:ascii="Times New Roman" w:hAnsi="Times New Roman" w:cs="Times New Roman"/>
          <w:lang w:val="es-AR"/>
        </w:rPr>
        <w:t>no dan cuenta del sostenido crecimiento de la gan</w:t>
      </w:r>
      <w:r w:rsidRPr="00331929">
        <w:rPr>
          <w:rFonts w:ascii="Times New Roman" w:hAnsi="Times New Roman" w:cs="Times New Roman"/>
          <w:lang w:val="es-AR"/>
        </w:rPr>
        <w:t>adería bovina en la provincia. A</w:t>
      </w:r>
      <w:r w:rsidR="00AF4A1A" w:rsidRPr="00331929">
        <w:rPr>
          <w:rFonts w:ascii="Times New Roman" w:hAnsi="Times New Roman" w:cs="Times New Roman"/>
          <w:lang w:val="es-AR"/>
        </w:rPr>
        <w:t xml:space="preserve"> la información </w:t>
      </w:r>
      <w:r w:rsidRPr="00331929">
        <w:rPr>
          <w:rFonts w:ascii="Times New Roman" w:hAnsi="Times New Roman" w:cs="Times New Roman"/>
          <w:lang w:val="es-AR"/>
        </w:rPr>
        <w:t>de SENASA</w:t>
      </w:r>
      <w:r w:rsidR="00A2651F" w:rsidRPr="00331929">
        <w:rPr>
          <w:rFonts w:ascii="Times New Roman" w:hAnsi="Times New Roman" w:cs="Times New Roman"/>
          <w:lang w:val="es-AR"/>
        </w:rPr>
        <w:t xml:space="preserve"> </w:t>
      </w:r>
      <w:r w:rsidR="001B4373" w:rsidRPr="00331929">
        <w:rPr>
          <w:rFonts w:ascii="Times New Roman" w:hAnsi="Times New Roman" w:cs="Times New Roman"/>
          <w:lang w:val="es-AR"/>
        </w:rPr>
        <w:t>podemos agregar la</w:t>
      </w:r>
      <w:r w:rsidR="00AF4A1A" w:rsidRPr="00331929">
        <w:rPr>
          <w:rFonts w:ascii="Times New Roman" w:hAnsi="Times New Roman" w:cs="Times New Roman"/>
          <w:lang w:val="es-AR"/>
        </w:rPr>
        <w:t xml:space="preserve"> de la Dirección General de G</w:t>
      </w:r>
      <w:r w:rsidR="00A2651F" w:rsidRPr="00331929">
        <w:rPr>
          <w:rFonts w:ascii="Times New Roman" w:hAnsi="Times New Roman" w:cs="Times New Roman"/>
          <w:lang w:val="es-AR"/>
        </w:rPr>
        <w:t xml:space="preserve">anadería de la Provincia, </w:t>
      </w:r>
      <w:r w:rsidR="00A2651F" w:rsidRPr="00331929">
        <w:rPr>
          <w:rFonts w:ascii="Times New Roman" w:hAnsi="Times New Roman" w:cs="Times New Roman"/>
          <w:lang w:val="es-AR"/>
        </w:rPr>
        <w:lastRenderedPageBreak/>
        <w:t xml:space="preserve">que para </w:t>
      </w:r>
      <w:r w:rsidRPr="00331929">
        <w:rPr>
          <w:rFonts w:ascii="Times New Roman" w:hAnsi="Times New Roman" w:cs="Times New Roman"/>
          <w:lang w:val="es-AR"/>
        </w:rPr>
        <w:t xml:space="preserve">el año 2019 daba cuenta </w:t>
      </w:r>
      <w:r w:rsidR="00A2651F" w:rsidRPr="00331929">
        <w:rPr>
          <w:rFonts w:ascii="Times New Roman" w:hAnsi="Times New Roman" w:cs="Times New Roman"/>
          <w:lang w:val="es-AR"/>
        </w:rPr>
        <w:t xml:space="preserve">de la </w:t>
      </w:r>
      <w:r w:rsidR="006C5F8E" w:rsidRPr="00331929">
        <w:rPr>
          <w:rFonts w:ascii="Times New Roman" w:hAnsi="Times New Roman" w:cs="Times New Roman"/>
          <w:lang w:val="es-AR"/>
        </w:rPr>
        <w:t>existencia</w:t>
      </w:r>
      <w:r w:rsidR="00A2651F" w:rsidRPr="00331929">
        <w:rPr>
          <w:rFonts w:ascii="Times New Roman" w:hAnsi="Times New Roman" w:cs="Times New Roman"/>
          <w:lang w:val="es-AR"/>
        </w:rPr>
        <w:t xml:space="preserve"> de 1.457.818 cabezas</w:t>
      </w:r>
      <w:r w:rsidRPr="00331929">
        <w:rPr>
          <w:rFonts w:ascii="Times New Roman" w:hAnsi="Times New Roman" w:cs="Times New Roman"/>
          <w:lang w:val="es-AR"/>
        </w:rPr>
        <w:t xml:space="preserve"> de ganado bovino</w:t>
      </w:r>
      <w:r w:rsidR="006821C3">
        <w:rPr>
          <w:rFonts w:ascii="Times New Roman" w:hAnsi="Times New Roman" w:cs="Times New Roman"/>
          <w:lang w:val="es-AR"/>
        </w:rPr>
        <w:t xml:space="preserve"> (DGE, 2019). </w:t>
      </w:r>
      <w:r w:rsidR="00F32680">
        <w:rPr>
          <w:rFonts w:ascii="Times New Roman" w:hAnsi="Times New Roman" w:cs="Times New Roman"/>
          <w:lang w:val="es-AR"/>
        </w:rPr>
        <w:t>De acuerdo a información suministrada por algunos informantes calificados, existe la presunción de un ocultamiento de la información referida a esta variable.</w:t>
      </w:r>
    </w:p>
    <w:p w14:paraId="39C52742" w14:textId="3C70B0D6" w:rsidR="00D47A4C" w:rsidRPr="00331929" w:rsidRDefault="006821C3" w:rsidP="00AC03A4">
      <w:pPr>
        <w:spacing w:after="120"/>
        <w:ind w:left="142" w:firstLine="578"/>
        <w:jc w:val="both"/>
        <w:rPr>
          <w:rFonts w:ascii="Times New Roman" w:hAnsi="Times New Roman" w:cs="Times New Roman"/>
          <w:lang w:val="es-AR"/>
        </w:rPr>
      </w:pPr>
      <w:r>
        <w:rPr>
          <w:rFonts w:ascii="Times New Roman" w:hAnsi="Times New Roman" w:cs="Times New Roman"/>
          <w:lang w:val="es-AR"/>
        </w:rPr>
        <w:t>Igualmente, y e</w:t>
      </w:r>
      <w:r w:rsidR="006C5F8E" w:rsidRPr="00331929">
        <w:rPr>
          <w:rFonts w:ascii="Times New Roman" w:hAnsi="Times New Roman" w:cs="Times New Roman"/>
          <w:lang w:val="es-AR"/>
        </w:rPr>
        <w:t xml:space="preserve">n relación </w:t>
      </w:r>
      <w:r w:rsidR="00AC0523">
        <w:rPr>
          <w:rFonts w:ascii="Times New Roman" w:hAnsi="Times New Roman" w:cs="Times New Roman"/>
          <w:lang w:val="es-AR"/>
        </w:rPr>
        <w:t>con</w:t>
      </w:r>
      <w:r w:rsidR="006C5F8E" w:rsidRPr="00331929">
        <w:rPr>
          <w:rFonts w:ascii="Times New Roman" w:hAnsi="Times New Roman" w:cs="Times New Roman"/>
          <w:lang w:val="es-AR"/>
        </w:rPr>
        <w:t xml:space="preserve"> los datos sobre existencias ganaderas caprinas y ovinas</w:t>
      </w:r>
      <w:r w:rsidR="00906E62" w:rsidRPr="00331929">
        <w:rPr>
          <w:rFonts w:ascii="Times New Roman" w:hAnsi="Times New Roman" w:cs="Times New Roman"/>
          <w:lang w:val="es-AR"/>
        </w:rPr>
        <w:t>,</w:t>
      </w:r>
      <w:r w:rsidR="006C5F8E" w:rsidRPr="00331929">
        <w:rPr>
          <w:rFonts w:ascii="Times New Roman" w:hAnsi="Times New Roman" w:cs="Times New Roman"/>
          <w:lang w:val="es-AR"/>
        </w:rPr>
        <w:t xml:space="preserve"> encontramos una brecha muy significativa con los registros de </w:t>
      </w:r>
      <w:r w:rsidR="00906E62" w:rsidRPr="00331929">
        <w:rPr>
          <w:rFonts w:ascii="Times New Roman" w:hAnsi="Times New Roman" w:cs="Times New Roman"/>
          <w:lang w:val="es-AR"/>
        </w:rPr>
        <w:t>SENASA. E</w:t>
      </w:r>
      <w:r w:rsidR="001B4373" w:rsidRPr="00331929">
        <w:rPr>
          <w:rFonts w:ascii="Times New Roman" w:hAnsi="Times New Roman" w:cs="Times New Roman"/>
          <w:lang w:val="es-AR"/>
        </w:rPr>
        <w:t>ntendemos</w:t>
      </w:r>
      <w:r w:rsidR="00906E62" w:rsidRPr="00331929">
        <w:rPr>
          <w:rFonts w:ascii="Times New Roman" w:hAnsi="Times New Roman" w:cs="Times New Roman"/>
          <w:lang w:val="es-AR"/>
        </w:rPr>
        <w:t xml:space="preserve"> que esta</w:t>
      </w:r>
      <w:r w:rsidR="00AF4A1A" w:rsidRPr="00331929">
        <w:rPr>
          <w:rFonts w:ascii="Times New Roman" w:hAnsi="Times New Roman" w:cs="Times New Roman"/>
          <w:lang w:val="es-AR"/>
        </w:rPr>
        <w:t xml:space="preserve"> brecha está ocasionada por lo que consideramos un sub</w:t>
      </w:r>
      <w:r w:rsidR="00182CDC">
        <w:rPr>
          <w:rFonts w:ascii="Times New Roman" w:hAnsi="Times New Roman" w:cs="Times New Roman"/>
          <w:lang w:val="es-AR"/>
        </w:rPr>
        <w:t>-</w:t>
      </w:r>
      <w:r w:rsidR="00AF4A1A" w:rsidRPr="00331929">
        <w:rPr>
          <w:rFonts w:ascii="Times New Roman" w:hAnsi="Times New Roman" w:cs="Times New Roman"/>
          <w:lang w:val="es-AR"/>
        </w:rPr>
        <w:t>regist</w:t>
      </w:r>
      <w:r w:rsidR="00AC0523">
        <w:rPr>
          <w:rFonts w:ascii="Times New Roman" w:hAnsi="Times New Roman" w:cs="Times New Roman"/>
          <w:lang w:val="es-AR"/>
        </w:rPr>
        <w:t>r</w:t>
      </w:r>
      <w:r w:rsidR="00AF4A1A" w:rsidRPr="00331929">
        <w:rPr>
          <w:rFonts w:ascii="Times New Roman" w:hAnsi="Times New Roman" w:cs="Times New Roman"/>
          <w:lang w:val="es-AR"/>
        </w:rPr>
        <w:t>o de las EAPs sin límites definidos</w:t>
      </w:r>
      <w:r>
        <w:rPr>
          <w:rFonts w:ascii="Times New Roman" w:hAnsi="Times New Roman" w:cs="Times New Roman"/>
          <w:lang w:val="es-AR"/>
        </w:rPr>
        <w:t xml:space="preserve"> por parte del CNA 2018</w:t>
      </w:r>
      <w:r w:rsidR="00AF4A1A" w:rsidRPr="00331929">
        <w:rPr>
          <w:rFonts w:ascii="Times New Roman" w:hAnsi="Times New Roman" w:cs="Times New Roman"/>
          <w:lang w:val="es-AR"/>
        </w:rPr>
        <w:t xml:space="preserve">, </w:t>
      </w:r>
      <w:r>
        <w:rPr>
          <w:rFonts w:ascii="Times New Roman" w:hAnsi="Times New Roman" w:cs="Times New Roman"/>
          <w:lang w:val="es-AR"/>
        </w:rPr>
        <w:t xml:space="preserve">en áreas </w:t>
      </w:r>
      <w:r w:rsidR="00AF4A1A" w:rsidRPr="00331929">
        <w:rPr>
          <w:rFonts w:ascii="Times New Roman" w:hAnsi="Times New Roman" w:cs="Times New Roman"/>
          <w:lang w:val="es-AR"/>
        </w:rPr>
        <w:t xml:space="preserve">donde mayormente se desarrolla este tipo de </w:t>
      </w:r>
      <w:commentRangeStart w:id="2"/>
      <w:r w:rsidR="00AF4A1A" w:rsidRPr="00331929">
        <w:rPr>
          <w:rFonts w:ascii="Times New Roman" w:hAnsi="Times New Roman" w:cs="Times New Roman"/>
          <w:lang w:val="es-AR"/>
        </w:rPr>
        <w:t>producción</w:t>
      </w:r>
      <w:commentRangeEnd w:id="2"/>
      <w:r w:rsidR="00967FE7">
        <w:rPr>
          <w:rStyle w:val="Refdecomentario"/>
        </w:rPr>
        <w:commentReference w:id="2"/>
      </w:r>
      <w:r w:rsidR="00AF4A1A" w:rsidRPr="00331929">
        <w:rPr>
          <w:rFonts w:ascii="Times New Roman" w:hAnsi="Times New Roman" w:cs="Times New Roman"/>
          <w:lang w:val="es-AR"/>
        </w:rPr>
        <w:t>.</w:t>
      </w:r>
      <w:r w:rsidR="00F32680">
        <w:rPr>
          <w:rFonts w:ascii="Times New Roman" w:hAnsi="Times New Roman" w:cs="Times New Roman"/>
          <w:lang w:val="es-AR"/>
        </w:rPr>
        <w:t xml:space="preserve"> </w:t>
      </w:r>
    </w:p>
    <w:p w14:paraId="5B7FD508" w14:textId="2C5B421F" w:rsidR="009A330D" w:rsidRPr="00331929" w:rsidRDefault="009A330D" w:rsidP="00AC03A4">
      <w:pPr>
        <w:jc w:val="both"/>
        <w:rPr>
          <w:rFonts w:ascii="Times New Roman" w:hAnsi="Times New Roman" w:cs="Times New Roman"/>
          <w:b/>
          <w:lang w:val="es-ES"/>
        </w:rPr>
      </w:pPr>
      <w:r w:rsidRPr="00331929">
        <w:rPr>
          <w:rFonts w:ascii="Times New Roman" w:hAnsi="Times New Roman" w:cs="Times New Roman"/>
          <w:b/>
          <w:lang w:val="es-ES"/>
        </w:rPr>
        <w:t>Algunas consideraciones</w:t>
      </w:r>
      <w:r w:rsidR="00CC7EE2">
        <w:rPr>
          <w:rFonts w:ascii="Times New Roman" w:hAnsi="Times New Roman" w:cs="Times New Roman"/>
          <w:b/>
          <w:lang w:val="es-ES"/>
        </w:rPr>
        <w:t xml:space="preserve"> sobre el relevamiento del CN 2018</w:t>
      </w:r>
    </w:p>
    <w:p w14:paraId="521C8DBD" w14:textId="7D4BC7DA" w:rsidR="001B4373" w:rsidRPr="00331929" w:rsidRDefault="001B4373" w:rsidP="00AC03A4">
      <w:pPr>
        <w:spacing w:after="0"/>
        <w:ind w:firstLine="720"/>
        <w:jc w:val="both"/>
        <w:rPr>
          <w:rFonts w:ascii="Times New Roman" w:hAnsi="Times New Roman" w:cs="Times New Roman"/>
          <w:lang w:val="es-ES"/>
        </w:rPr>
      </w:pPr>
      <w:r w:rsidRPr="00331929">
        <w:rPr>
          <w:rFonts w:ascii="Times New Roman" w:hAnsi="Times New Roman" w:cs="Times New Roman"/>
          <w:lang w:val="es-ES"/>
        </w:rPr>
        <w:t xml:space="preserve">En función de </w:t>
      </w:r>
      <w:r w:rsidR="007E19B6" w:rsidRPr="00331929">
        <w:rPr>
          <w:rFonts w:ascii="Times New Roman" w:hAnsi="Times New Roman" w:cs="Times New Roman"/>
          <w:lang w:val="es-ES"/>
        </w:rPr>
        <w:t xml:space="preserve">todo </w:t>
      </w:r>
      <w:r w:rsidRPr="00331929">
        <w:rPr>
          <w:rFonts w:ascii="Times New Roman" w:hAnsi="Times New Roman" w:cs="Times New Roman"/>
          <w:lang w:val="es-ES"/>
        </w:rPr>
        <w:t>lo señalado anteriormente</w:t>
      </w:r>
      <w:r w:rsidR="006821C3">
        <w:rPr>
          <w:rFonts w:ascii="Times New Roman" w:hAnsi="Times New Roman" w:cs="Times New Roman"/>
          <w:lang w:val="es-ES"/>
        </w:rPr>
        <w:t xml:space="preserve"> en relación </w:t>
      </w:r>
      <w:r w:rsidR="00AC0523">
        <w:rPr>
          <w:rFonts w:ascii="Times New Roman" w:hAnsi="Times New Roman" w:cs="Times New Roman"/>
          <w:lang w:val="es-ES"/>
        </w:rPr>
        <w:t>con</w:t>
      </w:r>
      <w:r w:rsidR="006821C3">
        <w:rPr>
          <w:rFonts w:ascii="Times New Roman" w:hAnsi="Times New Roman" w:cs="Times New Roman"/>
          <w:lang w:val="es-ES"/>
        </w:rPr>
        <w:t xml:space="preserve"> los problemas de sub</w:t>
      </w:r>
      <w:r w:rsidR="00182CDC">
        <w:rPr>
          <w:rFonts w:ascii="Times New Roman" w:hAnsi="Times New Roman" w:cs="Times New Roman"/>
          <w:lang w:val="es-ES"/>
        </w:rPr>
        <w:t>-</w:t>
      </w:r>
      <w:r w:rsidR="006821C3">
        <w:rPr>
          <w:rFonts w:ascii="Times New Roman" w:hAnsi="Times New Roman" w:cs="Times New Roman"/>
          <w:lang w:val="es-ES"/>
        </w:rPr>
        <w:t>registro de determinadas categorías censales</w:t>
      </w:r>
      <w:r w:rsidR="007E19B6" w:rsidRPr="00331929">
        <w:rPr>
          <w:rFonts w:ascii="Times New Roman" w:hAnsi="Times New Roman" w:cs="Times New Roman"/>
          <w:lang w:val="es-ES"/>
        </w:rPr>
        <w:t>,</w:t>
      </w:r>
      <w:r w:rsidRPr="00331929">
        <w:rPr>
          <w:rFonts w:ascii="Times New Roman" w:hAnsi="Times New Roman" w:cs="Times New Roman"/>
          <w:lang w:val="es-ES"/>
        </w:rPr>
        <w:t xml:space="preserve"> decidimos entrevistar a supervisores y coordinadores de</w:t>
      </w:r>
      <w:r w:rsidR="007E19B6" w:rsidRPr="00331929">
        <w:rPr>
          <w:rFonts w:ascii="Times New Roman" w:hAnsi="Times New Roman" w:cs="Times New Roman"/>
          <w:lang w:val="es-ES"/>
        </w:rPr>
        <w:t xml:space="preserve">l CNA 2018 </w:t>
      </w:r>
      <w:r w:rsidRPr="00331929">
        <w:rPr>
          <w:rFonts w:ascii="Times New Roman" w:hAnsi="Times New Roman" w:cs="Times New Roman"/>
          <w:lang w:val="es-ES"/>
        </w:rPr>
        <w:t xml:space="preserve">en distintas zonas de la provincia, donde logramos testimonios que nos permiten explicar </w:t>
      </w:r>
      <w:r w:rsidRPr="00B06497">
        <w:rPr>
          <w:rFonts w:ascii="Times New Roman" w:hAnsi="Times New Roman" w:cs="Times New Roman"/>
          <w:lang w:val="es-ES"/>
        </w:rPr>
        <w:t>algunos</w:t>
      </w:r>
      <w:r w:rsidRPr="00331929">
        <w:rPr>
          <w:rFonts w:ascii="Times New Roman" w:hAnsi="Times New Roman" w:cs="Times New Roman"/>
          <w:lang w:val="es-ES"/>
        </w:rPr>
        <w:t xml:space="preserve"> </w:t>
      </w:r>
      <w:r w:rsidR="000248B8" w:rsidRPr="00331929">
        <w:rPr>
          <w:rFonts w:ascii="Times New Roman" w:hAnsi="Times New Roman" w:cs="Times New Roman"/>
          <w:lang w:val="es-ES"/>
        </w:rPr>
        <w:t>resultados.</w:t>
      </w:r>
    </w:p>
    <w:p w14:paraId="2C7672D7" w14:textId="77777777" w:rsidR="000248B8" w:rsidRPr="00331929" w:rsidRDefault="006821C3" w:rsidP="00AC03A4">
      <w:pPr>
        <w:ind w:firstLine="720"/>
        <w:jc w:val="both"/>
        <w:rPr>
          <w:rFonts w:ascii="Times New Roman" w:hAnsi="Times New Roman" w:cs="Times New Roman"/>
          <w:lang w:val="es-ES"/>
        </w:rPr>
      </w:pPr>
      <w:r>
        <w:rPr>
          <w:rFonts w:ascii="Times New Roman" w:hAnsi="Times New Roman" w:cs="Times New Roman"/>
          <w:lang w:val="es-ES"/>
        </w:rPr>
        <w:t>El</w:t>
      </w:r>
      <w:r w:rsidR="009A330D" w:rsidRPr="00331929">
        <w:rPr>
          <w:rFonts w:ascii="Times New Roman" w:hAnsi="Times New Roman" w:cs="Times New Roman"/>
          <w:lang w:val="es-ES"/>
        </w:rPr>
        <w:t xml:space="preserve"> supervisor de una región andina </w:t>
      </w:r>
      <w:r w:rsidR="0044705C" w:rsidRPr="00331929">
        <w:rPr>
          <w:rFonts w:ascii="Times New Roman" w:hAnsi="Times New Roman" w:cs="Times New Roman"/>
          <w:lang w:val="es-ES"/>
        </w:rPr>
        <w:t>donde la</w:t>
      </w:r>
      <w:r w:rsidR="009A330D" w:rsidRPr="00331929">
        <w:rPr>
          <w:rFonts w:ascii="Times New Roman" w:hAnsi="Times New Roman" w:cs="Times New Roman"/>
          <w:lang w:val="es-ES"/>
        </w:rPr>
        <w:t xml:space="preserve"> presencia de EAP</w:t>
      </w:r>
      <w:r w:rsidR="007E19B6" w:rsidRPr="00331929">
        <w:rPr>
          <w:rFonts w:ascii="Times New Roman" w:hAnsi="Times New Roman" w:cs="Times New Roman"/>
          <w:lang w:val="es-ES"/>
        </w:rPr>
        <w:t>s</w:t>
      </w:r>
      <w:r w:rsidR="009A330D" w:rsidRPr="00331929">
        <w:rPr>
          <w:rFonts w:ascii="Times New Roman" w:hAnsi="Times New Roman" w:cs="Times New Roman"/>
          <w:lang w:val="es-ES"/>
        </w:rPr>
        <w:t xml:space="preserve"> sin lím</w:t>
      </w:r>
      <w:r w:rsidR="00DA6EC1" w:rsidRPr="00331929">
        <w:rPr>
          <w:rFonts w:ascii="Times New Roman" w:hAnsi="Times New Roman" w:cs="Times New Roman"/>
          <w:lang w:val="es-ES"/>
        </w:rPr>
        <w:t>ites definidos es preponderante</w:t>
      </w:r>
      <w:r w:rsidR="009A330D" w:rsidRPr="00331929">
        <w:rPr>
          <w:rFonts w:ascii="Times New Roman" w:hAnsi="Times New Roman" w:cs="Times New Roman"/>
          <w:lang w:val="es-ES"/>
        </w:rPr>
        <w:t>, nos manifestó</w:t>
      </w:r>
      <w:r w:rsidR="00DA6EC1" w:rsidRPr="00331929">
        <w:rPr>
          <w:rFonts w:ascii="Times New Roman" w:hAnsi="Times New Roman" w:cs="Times New Roman"/>
          <w:lang w:val="es-ES"/>
        </w:rPr>
        <w:t xml:space="preserve"> lo siguiente</w:t>
      </w:r>
      <w:r w:rsidR="009A330D" w:rsidRPr="00331929">
        <w:rPr>
          <w:rFonts w:ascii="Times New Roman" w:hAnsi="Times New Roman" w:cs="Times New Roman"/>
          <w:lang w:val="es-ES"/>
        </w:rPr>
        <w:t xml:space="preserve">: </w:t>
      </w:r>
    </w:p>
    <w:p w14:paraId="57205A27" w14:textId="77777777" w:rsidR="00DA6EC1" w:rsidRPr="00331929" w:rsidRDefault="009A330D" w:rsidP="00AC03A4">
      <w:pPr>
        <w:ind w:left="567" w:right="567"/>
        <w:jc w:val="both"/>
        <w:rPr>
          <w:rFonts w:ascii="Times New Roman" w:hAnsi="Times New Roman" w:cs="Times New Roman"/>
          <w:sz w:val="20"/>
          <w:szCs w:val="20"/>
          <w:lang w:val="es-ES"/>
        </w:rPr>
      </w:pPr>
      <w:r w:rsidRPr="00331929">
        <w:rPr>
          <w:rFonts w:ascii="Times New Roman" w:hAnsi="Times New Roman" w:cs="Times New Roman"/>
          <w:sz w:val="20"/>
          <w:szCs w:val="20"/>
          <w:lang w:val="es-ES"/>
        </w:rPr>
        <w:t>La verdad que este último censo fue un desastre, muy complicado, se hacía con las tablets y el tema de cobertura territorial la fueron cerrando como pudieron</w:t>
      </w:r>
      <w:r w:rsidR="00DA6EC1" w:rsidRPr="00331929">
        <w:rPr>
          <w:rFonts w:ascii="Times New Roman" w:hAnsi="Times New Roman" w:cs="Times New Roman"/>
          <w:sz w:val="20"/>
          <w:szCs w:val="20"/>
          <w:lang w:val="es-ES"/>
        </w:rPr>
        <w:t>,</w:t>
      </w:r>
      <w:r w:rsidRPr="00331929">
        <w:rPr>
          <w:rFonts w:ascii="Times New Roman" w:hAnsi="Times New Roman" w:cs="Times New Roman"/>
          <w:sz w:val="20"/>
          <w:szCs w:val="20"/>
          <w:lang w:val="es-ES"/>
        </w:rPr>
        <w:t xml:space="preserve"> así que es probable que haya errores, cuando se </w:t>
      </w:r>
      <w:r w:rsidR="00DA6EC1" w:rsidRPr="00331929">
        <w:rPr>
          <w:rFonts w:ascii="Times New Roman" w:hAnsi="Times New Roman" w:cs="Times New Roman"/>
          <w:sz w:val="20"/>
          <w:szCs w:val="20"/>
          <w:lang w:val="es-ES"/>
        </w:rPr>
        <w:t>dibujaba una explotación en la t</w:t>
      </w:r>
      <w:r w:rsidRPr="00331929">
        <w:rPr>
          <w:rFonts w:ascii="Times New Roman" w:hAnsi="Times New Roman" w:cs="Times New Roman"/>
          <w:sz w:val="20"/>
          <w:szCs w:val="20"/>
          <w:lang w:val="es-ES"/>
        </w:rPr>
        <w:t>ablet, no se dibujaba bien, el croquis no</w:t>
      </w:r>
      <w:r w:rsidR="00DA6EC1" w:rsidRPr="00331929">
        <w:rPr>
          <w:rFonts w:ascii="Times New Roman" w:hAnsi="Times New Roman" w:cs="Times New Roman"/>
          <w:sz w:val="20"/>
          <w:szCs w:val="20"/>
          <w:lang w:val="es-ES"/>
        </w:rPr>
        <w:t xml:space="preserve"> se adjuntaba a todo el censo. A veces se sobreponían</w:t>
      </w:r>
      <w:r w:rsidRPr="00331929">
        <w:rPr>
          <w:rFonts w:ascii="Times New Roman" w:hAnsi="Times New Roman" w:cs="Times New Roman"/>
          <w:sz w:val="20"/>
          <w:szCs w:val="20"/>
          <w:lang w:val="es-ES"/>
        </w:rPr>
        <w:t xml:space="preserve"> l</w:t>
      </w:r>
      <w:r w:rsidR="006821C3">
        <w:rPr>
          <w:rFonts w:ascii="Times New Roman" w:hAnsi="Times New Roman" w:cs="Times New Roman"/>
          <w:sz w:val="20"/>
          <w:szCs w:val="20"/>
          <w:lang w:val="es-ES"/>
        </w:rPr>
        <w:t>as parcelas, fue muy complicado</w:t>
      </w:r>
      <w:r w:rsidRPr="00331929">
        <w:rPr>
          <w:rFonts w:ascii="Times New Roman" w:hAnsi="Times New Roman" w:cs="Times New Roman"/>
          <w:sz w:val="20"/>
          <w:szCs w:val="20"/>
          <w:lang w:val="es-ES"/>
        </w:rPr>
        <w:t>.</w:t>
      </w:r>
    </w:p>
    <w:p w14:paraId="0F2F5EEA" w14:textId="27D7081B" w:rsidR="00DA6EC1" w:rsidRPr="00331929" w:rsidRDefault="004D4071" w:rsidP="00AC03A4">
      <w:pPr>
        <w:ind w:firstLine="720"/>
        <w:jc w:val="both"/>
        <w:rPr>
          <w:rFonts w:ascii="Times New Roman" w:hAnsi="Times New Roman" w:cs="Times New Roman"/>
          <w:lang w:val="es-ES"/>
        </w:rPr>
      </w:pPr>
      <w:r w:rsidRPr="00331929">
        <w:rPr>
          <w:rFonts w:ascii="Times New Roman" w:hAnsi="Times New Roman" w:cs="Times New Roman"/>
          <w:lang w:val="es-ES"/>
        </w:rPr>
        <w:t>También</w:t>
      </w:r>
      <w:r w:rsidR="001B4373" w:rsidRPr="00331929">
        <w:rPr>
          <w:rFonts w:ascii="Times New Roman" w:hAnsi="Times New Roman" w:cs="Times New Roman"/>
          <w:lang w:val="es-ES"/>
        </w:rPr>
        <w:t xml:space="preserve"> nos </w:t>
      </w:r>
      <w:r w:rsidRPr="00331929">
        <w:rPr>
          <w:rFonts w:ascii="Times New Roman" w:hAnsi="Times New Roman" w:cs="Times New Roman"/>
          <w:lang w:val="es-ES"/>
        </w:rPr>
        <w:t xml:space="preserve">manifestó inconvenientes en relación </w:t>
      </w:r>
      <w:r w:rsidR="00AC0523">
        <w:rPr>
          <w:rFonts w:ascii="Times New Roman" w:hAnsi="Times New Roman" w:cs="Times New Roman"/>
          <w:lang w:val="es-ES"/>
        </w:rPr>
        <w:t>con</w:t>
      </w:r>
      <w:r w:rsidRPr="00331929">
        <w:rPr>
          <w:rFonts w:ascii="Times New Roman" w:hAnsi="Times New Roman" w:cs="Times New Roman"/>
          <w:lang w:val="es-ES"/>
        </w:rPr>
        <w:t xml:space="preserve"> los recursos humanos y económicos</w:t>
      </w:r>
      <w:r w:rsidR="006821C3">
        <w:rPr>
          <w:rFonts w:ascii="Times New Roman" w:hAnsi="Times New Roman" w:cs="Times New Roman"/>
          <w:lang w:val="es-ES"/>
        </w:rPr>
        <w:t xml:space="preserve"> destinados al censo</w:t>
      </w:r>
      <w:r w:rsidRPr="00331929">
        <w:rPr>
          <w:rFonts w:ascii="Times New Roman" w:hAnsi="Times New Roman" w:cs="Times New Roman"/>
          <w:lang w:val="es-ES"/>
        </w:rPr>
        <w:t>:</w:t>
      </w:r>
    </w:p>
    <w:p w14:paraId="2758FB32" w14:textId="77777777" w:rsidR="001B4373" w:rsidRPr="00331929" w:rsidRDefault="00DA6EC1" w:rsidP="00AC03A4">
      <w:pPr>
        <w:ind w:left="567" w:right="567"/>
        <w:jc w:val="both"/>
        <w:rPr>
          <w:rFonts w:ascii="Times New Roman" w:hAnsi="Times New Roman" w:cs="Times New Roman"/>
          <w:sz w:val="20"/>
          <w:szCs w:val="20"/>
          <w:lang w:val="es-ES"/>
        </w:rPr>
      </w:pPr>
      <w:r w:rsidRPr="00331929">
        <w:rPr>
          <w:rFonts w:ascii="Times New Roman" w:hAnsi="Times New Roman" w:cs="Times New Roman"/>
          <w:sz w:val="20"/>
          <w:szCs w:val="20"/>
          <w:lang w:val="es-ES"/>
        </w:rPr>
        <w:t xml:space="preserve">En el censo anterior para mi </w:t>
      </w:r>
      <w:r w:rsidR="004D4071" w:rsidRPr="00331929">
        <w:rPr>
          <w:rFonts w:ascii="Times New Roman" w:hAnsi="Times New Roman" w:cs="Times New Roman"/>
          <w:sz w:val="20"/>
          <w:szCs w:val="20"/>
          <w:lang w:val="es-ES"/>
        </w:rPr>
        <w:t>zona estaban asignados 10 censi</w:t>
      </w:r>
      <w:r w:rsidR="006821C3">
        <w:rPr>
          <w:rFonts w:ascii="Times New Roman" w:hAnsi="Times New Roman" w:cs="Times New Roman"/>
          <w:sz w:val="20"/>
          <w:szCs w:val="20"/>
          <w:lang w:val="es-ES"/>
        </w:rPr>
        <w:t>s</w:t>
      </w:r>
      <w:r w:rsidR="004D4071" w:rsidRPr="00331929">
        <w:rPr>
          <w:rFonts w:ascii="Times New Roman" w:hAnsi="Times New Roman" w:cs="Times New Roman"/>
          <w:sz w:val="20"/>
          <w:szCs w:val="20"/>
          <w:lang w:val="es-ES"/>
        </w:rPr>
        <w:t xml:space="preserve">tas, en el </w:t>
      </w:r>
      <w:r w:rsidRPr="00331929">
        <w:rPr>
          <w:rFonts w:ascii="Times New Roman" w:hAnsi="Times New Roman" w:cs="Times New Roman"/>
          <w:sz w:val="20"/>
          <w:szCs w:val="20"/>
          <w:lang w:val="es-ES"/>
        </w:rPr>
        <w:t xml:space="preserve">Censo de </w:t>
      </w:r>
      <w:r w:rsidR="004D4071" w:rsidRPr="00331929">
        <w:rPr>
          <w:rFonts w:ascii="Times New Roman" w:hAnsi="Times New Roman" w:cs="Times New Roman"/>
          <w:sz w:val="20"/>
          <w:szCs w:val="20"/>
          <w:lang w:val="es-ES"/>
        </w:rPr>
        <w:t>2018 sólo eran tre</w:t>
      </w:r>
      <w:r w:rsidRPr="00331929">
        <w:rPr>
          <w:rFonts w:ascii="Times New Roman" w:hAnsi="Times New Roman" w:cs="Times New Roman"/>
          <w:sz w:val="20"/>
          <w:szCs w:val="20"/>
          <w:lang w:val="es-ES"/>
        </w:rPr>
        <w:t>s, y además estaban mal pagos</w:t>
      </w:r>
      <w:r w:rsidR="004D4071" w:rsidRPr="00331929">
        <w:rPr>
          <w:rFonts w:ascii="Times New Roman" w:hAnsi="Times New Roman" w:cs="Times New Roman"/>
          <w:sz w:val="20"/>
          <w:szCs w:val="20"/>
          <w:lang w:val="es-ES"/>
        </w:rPr>
        <w:t xml:space="preserve"> y con poco monto para combustible, en Iruya pasó lo mismo y sé que en</w:t>
      </w:r>
      <w:r w:rsidRPr="00331929">
        <w:rPr>
          <w:rFonts w:ascii="Times New Roman" w:hAnsi="Times New Roman" w:cs="Times New Roman"/>
          <w:sz w:val="20"/>
          <w:szCs w:val="20"/>
          <w:lang w:val="es-ES"/>
        </w:rPr>
        <w:t xml:space="preserve"> o</w:t>
      </w:r>
      <w:r w:rsidR="004D4071" w:rsidRPr="00331929">
        <w:rPr>
          <w:rFonts w:ascii="Times New Roman" w:hAnsi="Times New Roman" w:cs="Times New Roman"/>
          <w:sz w:val="20"/>
          <w:szCs w:val="20"/>
          <w:lang w:val="es-ES"/>
        </w:rPr>
        <w:t>tras zonas de la provincia muchos censistas abandonaron la tarea</w:t>
      </w:r>
      <w:r w:rsidRPr="00331929">
        <w:rPr>
          <w:rFonts w:ascii="Times New Roman" w:hAnsi="Times New Roman" w:cs="Times New Roman"/>
          <w:sz w:val="20"/>
          <w:szCs w:val="20"/>
          <w:lang w:val="es-ES"/>
        </w:rPr>
        <w:t>.</w:t>
      </w:r>
    </w:p>
    <w:p w14:paraId="1BA96BE2" w14:textId="77777777" w:rsidR="000248B8" w:rsidRPr="00331929" w:rsidRDefault="009A330D" w:rsidP="00AC03A4">
      <w:pPr>
        <w:ind w:firstLine="720"/>
        <w:jc w:val="both"/>
        <w:rPr>
          <w:rFonts w:ascii="Times New Roman" w:hAnsi="Times New Roman" w:cs="Times New Roman"/>
          <w:lang w:val="es-ES"/>
        </w:rPr>
      </w:pPr>
      <w:r w:rsidRPr="00331929">
        <w:rPr>
          <w:rFonts w:ascii="Times New Roman" w:hAnsi="Times New Roman" w:cs="Times New Roman"/>
          <w:lang w:val="es-ES"/>
        </w:rPr>
        <w:t>Una supervisora de la zona sur de la provincia expresó</w:t>
      </w:r>
      <w:r w:rsidR="000248B8" w:rsidRPr="00331929">
        <w:rPr>
          <w:rFonts w:ascii="Times New Roman" w:hAnsi="Times New Roman" w:cs="Times New Roman"/>
          <w:lang w:val="es-ES"/>
        </w:rPr>
        <w:t>:</w:t>
      </w:r>
    </w:p>
    <w:p w14:paraId="4D9C71DA" w14:textId="7F5EB5F7" w:rsidR="000248B8" w:rsidRPr="00331929" w:rsidRDefault="000248B8" w:rsidP="00AC03A4">
      <w:pPr>
        <w:ind w:left="567" w:right="567"/>
        <w:jc w:val="both"/>
        <w:rPr>
          <w:rFonts w:ascii="Times New Roman" w:hAnsi="Times New Roman" w:cs="Times New Roman"/>
          <w:sz w:val="20"/>
          <w:szCs w:val="20"/>
          <w:lang w:val="es-ES"/>
        </w:rPr>
      </w:pPr>
      <w:r w:rsidRPr="00331929">
        <w:rPr>
          <w:rFonts w:ascii="Times New Roman" w:hAnsi="Times New Roman" w:cs="Times New Roman"/>
          <w:sz w:val="20"/>
          <w:szCs w:val="20"/>
          <w:lang w:val="es-ES"/>
        </w:rPr>
        <w:t>Los</w:t>
      </w:r>
      <w:r w:rsidR="004D4071" w:rsidRPr="00331929">
        <w:rPr>
          <w:rFonts w:ascii="Times New Roman" w:hAnsi="Times New Roman" w:cs="Times New Roman"/>
          <w:sz w:val="20"/>
          <w:szCs w:val="20"/>
          <w:lang w:val="es-ES"/>
        </w:rPr>
        <w:t xml:space="preserve"> censistas me decían muchas </w:t>
      </w:r>
      <w:r w:rsidRPr="00331929">
        <w:rPr>
          <w:rFonts w:ascii="Times New Roman" w:hAnsi="Times New Roman" w:cs="Times New Roman"/>
          <w:sz w:val="20"/>
          <w:szCs w:val="20"/>
          <w:lang w:val="es-ES"/>
        </w:rPr>
        <w:t>cosas,</w:t>
      </w:r>
      <w:r w:rsidR="004D4071" w:rsidRPr="00331929">
        <w:rPr>
          <w:rFonts w:ascii="Times New Roman" w:hAnsi="Times New Roman" w:cs="Times New Roman"/>
          <w:sz w:val="20"/>
          <w:szCs w:val="20"/>
          <w:lang w:val="es-ES"/>
        </w:rPr>
        <w:t xml:space="preserve"> una es que </w:t>
      </w:r>
      <w:r w:rsidRPr="00331929">
        <w:rPr>
          <w:rFonts w:ascii="Times New Roman" w:hAnsi="Times New Roman" w:cs="Times New Roman"/>
          <w:sz w:val="20"/>
          <w:szCs w:val="20"/>
          <w:lang w:val="es-ES"/>
        </w:rPr>
        <w:t>encontraron</w:t>
      </w:r>
      <w:r w:rsidR="004D4071" w:rsidRPr="00331929">
        <w:rPr>
          <w:rFonts w:ascii="Times New Roman" w:hAnsi="Times New Roman" w:cs="Times New Roman"/>
          <w:sz w:val="20"/>
          <w:szCs w:val="20"/>
          <w:lang w:val="es-ES"/>
        </w:rPr>
        <w:t xml:space="preserve"> EAPs que ya no estaban en funcionamiento</w:t>
      </w:r>
      <w:r w:rsidR="00DA6EC1" w:rsidRPr="00331929">
        <w:rPr>
          <w:rFonts w:ascii="Times New Roman" w:hAnsi="Times New Roman" w:cs="Times New Roman"/>
          <w:sz w:val="20"/>
          <w:szCs w:val="20"/>
          <w:lang w:val="es-ES"/>
        </w:rPr>
        <w:t>, abandonadas</w:t>
      </w:r>
      <w:r w:rsidR="006821C3">
        <w:rPr>
          <w:rFonts w:ascii="Times New Roman" w:hAnsi="Times New Roman" w:cs="Times New Roman"/>
          <w:sz w:val="20"/>
          <w:szCs w:val="20"/>
          <w:lang w:val="es-ES"/>
        </w:rPr>
        <w:t>,</w:t>
      </w:r>
      <w:r w:rsidR="00DA6EC1" w:rsidRPr="00331929">
        <w:rPr>
          <w:rFonts w:ascii="Times New Roman" w:hAnsi="Times New Roman" w:cs="Times New Roman"/>
          <w:sz w:val="20"/>
          <w:szCs w:val="20"/>
          <w:lang w:val="es-ES"/>
        </w:rPr>
        <w:t xml:space="preserve"> y la otra es que</w:t>
      </w:r>
      <w:r w:rsidR="00AC0523">
        <w:rPr>
          <w:rFonts w:ascii="Times New Roman" w:hAnsi="Times New Roman" w:cs="Times New Roman"/>
          <w:sz w:val="20"/>
          <w:szCs w:val="20"/>
          <w:lang w:val="es-ES"/>
        </w:rPr>
        <w:t>,</w:t>
      </w:r>
      <w:r w:rsidR="00DA6EC1" w:rsidRPr="00331929">
        <w:rPr>
          <w:rFonts w:ascii="Times New Roman" w:hAnsi="Times New Roman" w:cs="Times New Roman"/>
          <w:sz w:val="20"/>
          <w:szCs w:val="20"/>
          <w:lang w:val="es-ES"/>
        </w:rPr>
        <w:t xml:space="preserve"> </w:t>
      </w:r>
      <w:r w:rsidR="009A330D" w:rsidRPr="00331929">
        <w:rPr>
          <w:rFonts w:ascii="Times New Roman" w:hAnsi="Times New Roman" w:cs="Times New Roman"/>
          <w:sz w:val="20"/>
          <w:szCs w:val="20"/>
          <w:lang w:val="es-ES"/>
        </w:rPr>
        <w:t>en la zona de cerros con terrenos sin definir,</w:t>
      </w:r>
      <w:r w:rsidR="004D4071" w:rsidRPr="00331929">
        <w:rPr>
          <w:rFonts w:ascii="Times New Roman" w:hAnsi="Times New Roman" w:cs="Times New Roman"/>
          <w:sz w:val="20"/>
          <w:szCs w:val="20"/>
          <w:lang w:val="es-ES"/>
        </w:rPr>
        <w:t xml:space="preserve"> no accedieron, n</w:t>
      </w:r>
      <w:r w:rsidR="0044705C" w:rsidRPr="00331929">
        <w:rPr>
          <w:rFonts w:ascii="Times New Roman" w:hAnsi="Times New Roman" w:cs="Times New Roman"/>
          <w:sz w:val="20"/>
          <w:szCs w:val="20"/>
          <w:lang w:val="es-ES"/>
        </w:rPr>
        <w:t>i llegaron a ir, sumado a que mu</w:t>
      </w:r>
      <w:r w:rsidR="004D4071" w:rsidRPr="00331929">
        <w:rPr>
          <w:rFonts w:ascii="Times New Roman" w:hAnsi="Times New Roman" w:cs="Times New Roman"/>
          <w:sz w:val="20"/>
          <w:szCs w:val="20"/>
          <w:lang w:val="es-ES"/>
        </w:rPr>
        <w:t>chos productores medianos y grandes n</w:t>
      </w:r>
      <w:r w:rsidRPr="00331929">
        <w:rPr>
          <w:rFonts w:ascii="Times New Roman" w:hAnsi="Times New Roman" w:cs="Times New Roman"/>
          <w:sz w:val="20"/>
          <w:szCs w:val="20"/>
          <w:lang w:val="es-ES"/>
        </w:rPr>
        <w:t>o</w:t>
      </w:r>
      <w:r w:rsidR="004D4071" w:rsidRPr="00331929">
        <w:rPr>
          <w:rFonts w:ascii="Times New Roman" w:hAnsi="Times New Roman" w:cs="Times New Roman"/>
          <w:sz w:val="20"/>
          <w:szCs w:val="20"/>
          <w:lang w:val="es-ES"/>
        </w:rPr>
        <w:t xml:space="preserve"> quisieron ser censados.</w:t>
      </w:r>
      <w:r w:rsidR="009A330D" w:rsidRPr="00331929">
        <w:rPr>
          <w:rFonts w:ascii="Times New Roman" w:hAnsi="Times New Roman" w:cs="Times New Roman"/>
          <w:sz w:val="20"/>
          <w:szCs w:val="20"/>
          <w:lang w:val="es-ES"/>
        </w:rPr>
        <w:t xml:space="preserve"> </w:t>
      </w:r>
    </w:p>
    <w:p w14:paraId="05C88D3E" w14:textId="77777777" w:rsidR="009A330D" w:rsidRPr="00331929" w:rsidRDefault="000248B8" w:rsidP="00AC03A4">
      <w:pPr>
        <w:spacing w:before="120" w:after="120"/>
        <w:ind w:left="142" w:firstLine="218"/>
        <w:jc w:val="both"/>
        <w:rPr>
          <w:rFonts w:ascii="Times New Roman" w:hAnsi="Times New Roman" w:cs="Times New Roman"/>
          <w:lang w:val="es-ES"/>
        </w:rPr>
      </w:pPr>
      <w:r w:rsidRPr="00331929">
        <w:rPr>
          <w:rFonts w:ascii="Times New Roman" w:hAnsi="Times New Roman" w:cs="Times New Roman"/>
          <w:lang w:val="es-ES"/>
        </w:rPr>
        <w:t xml:space="preserve">Un supervisor de la zona </w:t>
      </w:r>
      <w:r w:rsidR="006821C3">
        <w:rPr>
          <w:rFonts w:ascii="Times New Roman" w:hAnsi="Times New Roman" w:cs="Times New Roman"/>
          <w:lang w:val="es-ES"/>
        </w:rPr>
        <w:t>norte</w:t>
      </w:r>
      <w:r w:rsidRPr="00331929">
        <w:rPr>
          <w:rFonts w:ascii="Times New Roman" w:hAnsi="Times New Roman" w:cs="Times New Roman"/>
          <w:lang w:val="es-ES"/>
        </w:rPr>
        <w:t xml:space="preserve"> (área de expansión de la producción de soja y ganadería), nos comentó lo siguiente:</w:t>
      </w:r>
    </w:p>
    <w:p w14:paraId="79DF3D37" w14:textId="77777777" w:rsidR="00146AEA" w:rsidRPr="00331929" w:rsidRDefault="00146AEA" w:rsidP="00AC03A4">
      <w:pPr>
        <w:spacing w:after="0"/>
        <w:ind w:left="567" w:right="567"/>
        <w:jc w:val="both"/>
        <w:rPr>
          <w:rFonts w:ascii="Times New Roman" w:hAnsi="Times New Roman" w:cs="Times New Roman"/>
          <w:sz w:val="20"/>
          <w:szCs w:val="20"/>
          <w:lang w:val="es-ES"/>
        </w:rPr>
      </w:pPr>
      <w:r w:rsidRPr="00331929">
        <w:rPr>
          <w:rFonts w:ascii="Times New Roman" w:hAnsi="Times New Roman" w:cs="Times New Roman"/>
          <w:sz w:val="20"/>
          <w:szCs w:val="20"/>
          <w:lang w:val="es-ES"/>
        </w:rPr>
        <w:t xml:space="preserve">Los segmentos de los censistas en algunos departamentos eran </w:t>
      </w:r>
      <w:r w:rsidR="00D07A70" w:rsidRPr="00331929">
        <w:rPr>
          <w:rFonts w:ascii="Times New Roman" w:hAnsi="Times New Roman" w:cs="Times New Roman"/>
          <w:sz w:val="20"/>
          <w:szCs w:val="20"/>
          <w:lang w:val="es-ES"/>
        </w:rPr>
        <w:t>muy extensos</w:t>
      </w:r>
      <w:r w:rsidR="00DA6EC1" w:rsidRPr="00331929">
        <w:rPr>
          <w:rFonts w:ascii="Times New Roman" w:hAnsi="Times New Roman" w:cs="Times New Roman"/>
          <w:sz w:val="20"/>
          <w:szCs w:val="20"/>
          <w:lang w:val="es-ES"/>
        </w:rPr>
        <w:t>. E</w:t>
      </w:r>
      <w:r w:rsidRPr="00331929">
        <w:rPr>
          <w:rFonts w:ascii="Times New Roman" w:hAnsi="Times New Roman" w:cs="Times New Roman"/>
          <w:sz w:val="20"/>
          <w:szCs w:val="20"/>
          <w:lang w:val="es-ES"/>
        </w:rPr>
        <w:t>n el caso de Rivadavia superaban</w:t>
      </w:r>
      <w:r w:rsidR="00DA6EC1" w:rsidRPr="00331929">
        <w:rPr>
          <w:rFonts w:ascii="Times New Roman" w:hAnsi="Times New Roman" w:cs="Times New Roman"/>
          <w:sz w:val="20"/>
          <w:szCs w:val="20"/>
          <w:lang w:val="es-ES"/>
        </w:rPr>
        <w:t xml:space="preserve"> la</w:t>
      </w:r>
      <w:r w:rsidR="00EE41EB">
        <w:rPr>
          <w:rFonts w:ascii="Times New Roman" w:hAnsi="Times New Roman" w:cs="Times New Roman"/>
          <w:sz w:val="20"/>
          <w:szCs w:val="20"/>
          <w:lang w:val="es-ES"/>
        </w:rPr>
        <w:t>s 500 mil hectáreas</w:t>
      </w:r>
      <w:r w:rsidRPr="00331929">
        <w:rPr>
          <w:rFonts w:ascii="Times New Roman" w:hAnsi="Times New Roman" w:cs="Times New Roman"/>
          <w:sz w:val="20"/>
          <w:szCs w:val="20"/>
          <w:lang w:val="es-ES"/>
        </w:rPr>
        <w:t xml:space="preserve"> por censista y eso hacia un poco difícil cubrir todo el segmento.</w:t>
      </w:r>
    </w:p>
    <w:p w14:paraId="043C61F1" w14:textId="5188FDFC" w:rsidR="00241D53" w:rsidRPr="00331929" w:rsidRDefault="009A330D" w:rsidP="00AC03A4">
      <w:pPr>
        <w:spacing w:after="0"/>
        <w:ind w:left="567" w:right="567"/>
        <w:jc w:val="both"/>
        <w:rPr>
          <w:rFonts w:ascii="Times New Roman" w:hAnsi="Times New Roman" w:cs="Times New Roman"/>
          <w:sz w:val="20"/>
          <w:szCs w:val="20"/>
          <w:lang w:val="es-ES"/>
        </w:rPr>
      </w:pPr>
      <w:r w:rsidRPr="00331929">
        <w:rPr>
          <w:rFonts w:ascii="Times New Roman" w:hAnsi="Times New Roman" w:cs="Times New Roman"/>
          <w:sz w:val="20"/>
          <w:szCs w:val="20"/>
          <w:lang w:val="es-ES"/>
        </w:rPr>
        <w:t xml:space="preserve">Se permitía que el productor declare lo que él </w:t>
      </w:r>
      <w:r w:rsidR="000248B8" w:rsidRPr="00331929">
        <w:rPr>
          <w:rFonts w:ascii="Times New Roman" w:hAnsi="Times New Roman" w:cs="Times New Roman"/>
          <w:sz w:val="20"/>
          <w:szCs w:val="20"/>
          <w:lang w:val="es-ES"/>
        </w:rPr>
        <w:t>consideraba</w:t>
      </w:r>
      <w:r w:rsidR="00DA6EC1" w:rsidRPr="00331929">
        <w:rPr>
          <w:rFonts w:ascii="Times New Roman" w:hAnsi="Times New Roman" w:cs="Times New Roman"/>
          <w:sz w:val="20"/>
          <w:szCs w:val="20"/>
          <w:lang w:val="es-ES"/>
        </w:rPr>
        <w:t>,</w:t>
      </w:r>
      <w:r w:rsidR="000248B8" w:rsidRPr="00331929">
        <w:rPr>
          <w:rFonts w:ascii="Times New Roman" w:hAnsi="Times New Roman" w:cs="Times New Roman"/>
          <w:sz w:val="20"/>
          <w:szCs w:val="20"/>
          <w:lang w:val="es-ES"/>
        </w:rPr>
        <w:t xml:space="preserve"> </w:t>
      </w:r>
      <w:r w:rsidR="00DA6EC1" w:rsidRPr="00331929">
        <w:rPr>
          <w:rFonts w:ascii="Times New Roman" w:hAnsi="Times New Roman" w:cs="Times New Roman"/>
          <w:sz w:val="20"/>
          <w:szCs w:val="20"/>
          <w:lang w:val="es-ES"/>
        </w:rPr>
        <w:t>lo</w:t>
      </w:r>
      <w:r w:rsidRPr="00331929">
        <w:rPr>
          <w:rFonts w:ascii="Times New Roman" w:hAnsi="Times New Roman" w:cs="Times New Roman"/>
          <w:sz w:val="20"/>
          <w:szCs w:val="20"/>
          <w:lang w:val="es-ES"/>
        </w:rPr>
        <w:t xml:space="preserve"> que </w:t>
      </w:r>
      <w:r w:rsidR="00DA6EC1" w:rsidRPr="00331929">
        <w:rPr>
          <w:rFonts w:ascii="Times New Roman" w:hAnsi="Times New Roman" w:cs="Times New Roman"/>
          <w:sz w:val="20"/>
          <w:szCs w:val="20"/>
          <w:lang w:val="es-ES"/>
        </w:rPr>
        <w:t xml:space="preserve">en </w:t>
      </w:r>
      <w:r w:rsidR="000248B8" w:rsidRPr="00331929">
        <w:rPr>
          <w:rFonts w:ascii="Times New Roman" w:hAnsi="Times New Roman" w:cs="Times New Roman"/>
          <w:sz w:val="20"/>
          <w:szCs w:val="20"/>
          <w:lang w:val="es-ES"/>
        </w:rPr>
        <w:t>mucho</w:t>
      </w:r>
      <w:r w:rsidR="00DA6EC1" w:rsidRPr="00331929">
        <w:rPr>
          <w:rFonts w:ascii="Times New Roman" w:hAnsi="Times New Roman" w:cs="Times New Roman"/>
          <w:sz w:val="20"/>
          <w:szCs w:val="20"/>
          <w:lang w:val="es-ES"/>
        </w:rPr>
        <w:t>s</w:t>
      </w:r>
      <w:r w:rsidR="000248B8" w:rsidRPr="00331929">
        <w:rPr>
          <w:rFonts w:ascii="Times New Roman" w:hAnsi="Times New Roman" w:cs="Times New Roman"/>
          <w:sz w:val="20"/>
          <w:szCs w:val="20"/>
          <w:lang w:val="es-ES"/>
        </w:rPr>
        <w:t xml:space="preserve"> caso</w:t>
      </w:r>
      <w:r w:rsidR="00DA6EC1" w:rsidRPr="00331929">
        <w:rPr>
          <w:rFonts w:ascii="Times New Roman" w:hAnsi="Times New Roman" w:cs="Times New Roman"/>
          <w:sz w:val="20"/>
          <w:szCs w:val="20"/>
          <w:lang w:val="es-ES"/>
        </w:rPr>
        <w:t>s</w:t>
      </w:r>
      <w:r w:rsidR="000248B8" w:rsidRPr="00331929">
        <w:rPr>
          <w:rFonts w:ascii="Times New Roman" w:hAnsi="Times New Roman" w:cs="Times New Roman"/>
          <w:sz w:val="20"/>
          <w:szCs w:val="20"/>
          <w:lang w:val="es-ES"/>
        </w:rPr>
        <w:t xml:space="preserve"> no coincidía</w:t>
      </w:r>
      <w:r w:rsidRPr="00331929">
        <w:rPr>
          <w:rFonts w:ascii="Times New Roman" w:hAnsi="Times New Roman" w:cs="Times New Roman"/>
          <w:sz w:val="20"/>
          <w:szCs w:val="20"/>
          <w:lang w:val="es-ES"/>
        </w:rPr>
        <w:t xml:space="preserve"> con lo que veía el censista o la información que tenía sobre ese establecimiento. Unos cuantos productores o dueños de la tierra realizaban el censo en las oficinas de la Dirección de Estadística y se cargaba lo que el productor declara</w:t>
      </w:r>
      <w:r w:rsidR="00DA6EC1" w:rsidRPr="00331929">
        <w:rPr>
          <w:rFonts w:ascii="Times New Roman" w:hAnsi="Times New Roman" w:cs="Times New Roman"/>
          <w:sz w:val="20"/>
          <w:szCs w:val="20"/>
          <w:lang w:val="es-ES"/>
        </w:rPr>
        <w:t xml:space="preserve">ba y no lo que realmente </w:t>
      </w:r>
      <w:r w:rsidRPr="00331929">
        <w:rPr>
          <w:rFonts w:ascii="Times New Roman" w:hAnsi="Times New Roman" w:cs="Times New Roman"/>
          <w:sz w:val="20"/>
          <w:szCs w:val="20"/>
          <w:lang w:val="es-ES"/>
        </w:rPr>
        <w:t xml:space="preserve">tenía en cuanto a superficie en producción o superficie de </w:t>
      </w:r>
      <w:r w:rsidR="000248B8" w:rsidRPr="00331929">
        <w:rPr>
          <w:rFonts w:ascii="Times New Roman" w:hAnsi="Times New Roman" w:cs="Times New Roman"/>
          <w:sz w:val="20"/>
          <w:szCs w:val="20"/>
          <w:lang w:val="es-ES"/>
        </w:rPr>
        <w:t>la que</w:t>
      </w:r>
      <w:r w:rsidR="00EE41EB">
        <w:rPr>
          <w:rFonts w:ascii="Times New Roman" w:hAnsi="Times New Roman" w:cs="Times New Roman"/>
          <w:sz w:val="20"/>
          <w:szCs w:val="20"/>
          <w:lang w:val="es-ES"/>
        </w:rPr>
        <w:t xml:space="preserve"> era el titular. Un</w:t>
      </w:r>
      <w:r w:rsidRPr="00331929">
        <w:rPr>
          <w:rFonts w:ascii="Times New Roman" w:hAnsi="Times New Roman" w:cs="Times New Roman"/>
          <w:sz w:val="20"/>
          <w:szCs w:val="20"/>
          <w:lang w:val="es-ES"/>
        </w:rPr>
        <w:t xml:space="preserve"> </w:t>
      </w:r>
      <w:r w:rsidR="000248B8" w:rsidRPr="00331929">
        <w:rPr>
          <w:rFonts w:ascii="Times New Roman" w:hAnsi="Times New Roman" w:cs="Times New Roman"/>
          <w:sz w:val="20"/>
          <w:szCs w:val="20"/>
          <w:lang w:val="es-ES"/>
        </w:rPr>
        <w:t>ejemplo</w:t>
      </w:r>
      <w:r w:rsidR="00DA6EC1" w:rsidRPr="00331929">
        <w:rPr>
          <w:rFonts w:ascii="Times New Roman" w:hAnsi="Times New Roman" w:cs="Times New Roman"/>
          <w:sz w:val="20"/>
          <w:szCs w:val="20"/>
          <w:lang w:val="es-ES"/>
        </w:rPr>
        <w:t xml:space="preserve"> de </w:t>
      </w:r>
      <w:r w:rsidR="004A4D25" w:rsidRPr="00331929">
        <w:rPr>
          <w:rFonts w:ascii="Times New Roman" w:hAnsi="Times New Roman" w:cs="Times New Roman"/>
          <w:sz w:val="20"/>
          <w:szCs w:val="20"/>
          <w:lang w:val="es-ES"/>
        </w:rPr>
        <w:t>esto</w:t>
      </w:r>
      <w:r w:rsidR="000248B8" w:rsidRPr="00331929">
        <w:rPr>
          <w:rFonts w:ascii="Times New Roman" w:hAnsi="Times New Roman" w:cs="Times New Roman"/>
          <w:sz w:val="20"/>
          <w:szCs w:val="20"/>
          <w:lang w:val="es-ES"/>
        </w:rPr>
        <w:t xml:space="preserve"> </w:t>
      </w:r>
      <w:r w:rsidR="00DA6EC1" w:rsidRPr="00331929">
        <w:rPr>
          <w:rFonts w:ascii="Times New Roman" w:hAnsi="Times New Roman" w:cs="Times New Roman"/>
          <w:sz w:val="20"/>
          <w:szCs w:val="20"/>
          <w:lang w:val="es-ES"/>
        </w:rPr>
        <w:t xml:space="preserve">es que </w:t>
      </w:r>
      <w:r w:rsidR="000248B8" w:rsidRPr="00331929">
        <w:rPr>
          <w:rFonts w:ascii="Times New Roman" w:hAnsi="Times New Roman" w:cs="Times New Roman"/>
          <w:sz w:val="20"/>
          <w:szCs w:val="20"/>
          <w:lang w:val="es-ES"/>
        </w:rPr>
        <w:t>titulares</w:t>
      </w:r>
      <w:r w:rsidR="00DA6EC1" w:rsidRPr="00331929">
        <w:rPr>
          <w:rFonts w:ascii="Times New Roman" w:hAnsi="Times New Roman" w:cs="Times New Roman"/>
          <w:sz w:val="20"/>
          <w:szCs w:val="20"/>
          <w:lang w:val="es-ES"/>
        </w:rPr>
        <w:t xml:space="preserve"> de tierra con más de 25.000 Ha declaraban menos de 10.000 H</w:t>
      </w:r>
      <w:r w:rsidRPr="00331929">
        <w:rPr>
          <w:rFonts w:ascii="Times New Roman" w:hAnsi="Times New Roman" w:cs="Times New Roman"/>
          <w:sz w:val="20"/>
          <w:szCs w:val="20"/>
          <w:lang w:val="es-ES"/>
        </w:rPr>
        <w:t>a.</w:t>
      </w:r>
      <w:r w:rsidR="000248B8" w:rsidRPr="00331929">
        <w:rPr>
          <w:rFonts w:ascii="Times New Roman" w:hAnsi="Times New Roman" w:cs="Times New Roman"/>
          <w:sz w:val="20"/>
          <w:szCs w:val="20"/>
          <w:lang w:val="es-ES"/>
        </w:rPr>
        <w:t xml:space="preserve"> </w:t>
      </w:r>
    </w:p>
    <w:p w14:paraId="1B8610E0" w14:textId="77777777" w:rsidR="00146AEA" w:rsidRPr="00331929" w:rsidRDefault="00DA6EC1" w:rsidP="00AC03A4">
      <w:pPr>
        <w:spacing w:after="120"/>
        <w:ind w:left="567" w:right="567"/>
        <w:jc w:val="both"/>
        <w:rPr>
          <w:rFonts w:ascii="Times New Roman" w:hAnsi="Times New Roman" w:cs="Times New Roman"/>
          <w:sz w:val="20"/>
          <w:szCs w:val="20"/>
          <w:lang w:val="es-ES"/>
        </w:rPr>
      </w:pPr>
      <w:r w:rsidRPr="00331929">
        <w:rPr>
          <w:rFonts w:ascii="Times New Roman" w:hAnsi="Times New Roman" w:cs="Times New Roman"/>
          <w:sz w:val="20"/>
          <w:szCs w:val="20"/>
          <w:lang w:val="es-ES"/>
        </w:rPr>
        <w:t>Entre los</w:t>
      </w:r>
      <w:r w:rsidR="00EE41EB">
        <w:rPr>
          <w:rFonts w:ascii="Times New Roman" w:hAnsi="Times New Roman" w:cs="Times New Roman"/>
          <w:sz w:val="20"/>
          <w:szCs w:val="20"/>
          <w:lang w:val="es-ES"/>
        </w:rPr>
        <w:t xml:space="preserve"> problemas que se presentaron: f</w:t>
      </w:r>
      <w:r w:rsidRPr="00331929">
        <w:rPr>
          <w:rFonts w:ascii="Times New Roman" w:hAnsi="Times New Roman" w:cs="Times New Roman"/>
          <w:sz w:val="20"/>
          <w:szCs w:val="20"/>
          <w:lang w:val="es-ES"/>
        </w:rPr>
        <w:t xml:space="preserve">alta de experiencia y </w:t>
      </w:r>
      <w:r w:rsidR="00146AEA" w:rsidRPr="00331929">
        <w:rPr>
          <w:rFonts w:ascii="Times New Roman" w:hAnsi="Times New Roman" w:cs="Times New Roman"/>
          <w:sz w:val="20"/>
          <w:szCs w:val="20"/>
          <w:lang w:val="es-ES"/>
        </w:rPr>
        <w:t>conocimiento del terreno</w:t>
      </w:r>
      <w:r w:rsidRPr="00331929">
        <w:rPr>
          <w:rFonts w:ascii="Times New Roman" w:hAnsi="Times New Roman" w:cs="Times New Roman"/>
          <w:sz w:val="20"/>
          <w:szCs w:val="20"/>
          <w:lang w:val="es-ES"/>
        </w:rPr>
        <w:t>, así como falta de recursos humanos, especialmente en cuanto</w:t>
      </w:r>
      <w:r w:rsidR="00B27807" w:rsidRPr="00331929">
        <w:rPr>
          <w:rFonts w:ascii="Times New Roman" w:hAnsi="Times New Roman" w:cs="Times New Roman"/>
          <w:sz w:val="20"/>
          <w:szCs w:val="20"/>
          <w:lang w:val="es-ES"/>
        </w:rPr>
        <w:t xml:space="preserve"> a la </w:t>
      </w:r>
      <w:r w:rsidR="00146AEA" w:rsidRPr="00331929">
        <w:rPr>
          <w:rFonts w:ascii="Times New Roman" w:hAnsi="Times New Roman" w:cs="Times New Roman"/>
          <w:sz w:val="20"/>
          <w:szCs w:val="20"/>
          <w:lang w:val="es-ES"/>
        </w:rPr>
        <w:t xml:space="preserve">cantidad de </w:t>
      </w:r>
      <w:r w:rsidR="00B27807" w:rsidRPr="00331929">
        <w:rPr>
          <w:rFonts w:ascii="Times New Roman" w:hAnsi="Times New Roman" w:cs="Times New Roman"/>
          <w:sz w:val="20"/>
          <w:szCs w:val="20"/>
          <w:lang w:val="es-ES"/>
        </w:rPr>
        <w:t xml:space="preserve">censistas </w:t>
      </w:r>
      <w:r w:rsidR="00146AEA" w:rsidRPr="00331929">
        <w:rPr>
          <w:rFonts w:ascii="Times New Roman" w:hAnsi="Times New Roman" w:cs="Times New Roman"/>
          <w:sz w:val="20"/>
          <w:szCs w:val="20"/>
          <w:lang w:val="es-ES"/>
        </w:rPr>
        <w:t>para cubrir extensas superficies.</w:t>
      </w:r>
    </w:p>
    <w:p w14:paraId="01422F4E" w14:textId="77777777" w:rsidR="00D07A70" w:rsidRPr="00331929" w:rsidRDefault="00D07A70" w:rsidP="00AC03A4">
      <w:pPr>
        <w:shd w:val="clear" w:color="auto" w:fill="FFFFFF"/>
        <w:spacing w:after="120" w:line="240" w:lineRule="auto"/>
        <w:ind w:left="360"/>
        <w:jc w:val="both"/>
        <w:rPr>
          <w:rFonts w:ascii="Times New Roman" w:hAnsi="Times New Roman" w:cs="Times New Roman"/>
          <w:lang w:val="es-AR"/>
        </w:rPr>
      </w:pPr>
      <w:r w:rsidRPr="00331929">
        <w:rPr>
          <w:rFonts w:ascii="Times New Roman" w:hAnsi="Times New Roman" w:cs="Times New Roman"/>
          <w:lang w:val="es-AR"/>
        </w:rPr>
        <w:t>Un coordinador nos manifestó lo siguiente:</w:t>
      </w:r>
    </w:p>
    <w:p w14:paraId="631D7337" w14:textId="77777777" w:rsidR="00146AEA" w:rsidRPr="00331929" w:rsidRDefault="00146AEA" w:rsidP="00AC03A4">
      <w:pPr>
        <w:spacing w:after="0"/>
        <w:ind w:left="567" w:right="567"/>
        <w:jc w:val="both"/>
        <w:rPr>
          <w:rFonts w:ascii="Times New Roman" w:hAnsi="Times New Roman" w:cs="Times New Roman"/>
          <w:sz w:val="20"/>
          <w:szCs w:val="20"/>
          <w:lang w:val="es-ES"/>
        </w:rPr>
      </w:pPr>
      <w:r w:rsidRPr="00331929">
        <w:rPr>
          <w:rFonts w:ascii="Times New Roman" w:hAnsi="Times New Roman" w:cs="Times New Roman"/>
          <w:sz w:val="20"/>
          <w:szCs w:val="20"/>
          <w:lang w:val="es-ES"/>
        </w:rPr>
        <w:lastRenderedPageBreak/>
        <w:t>En tabaco</w:t>
      </w:r>
      <w:r w:rsidR="00B27807" w:rsidRPr="00331929">
        <w:rPr>
          <w:rFonts w:ascii="Times New Roman" w:hAnsi="Times New Roman" w:cs="Times New Roman"/>
          <w:sz w:val="20"/>
          <w:szCs w:val="20"/>
          <w:lang w:val="es-ES"/>
        </w:rPr>
        <w:t>,</w:t>
      </w:r>
      <w:r w:rsidRPr="00331929">
        <w:rPr>
          <w:rFonts w:ascii="Times New Roman" w:hAnsi="Times New Roman" w:cs="Times New Roman"/>
          <w:sz w:val="20"/>
          <w:szCs w:val="20"/>
          <w:lang w:val="es-ES"/>
        </w:rPr>
        <w:t xml:space="preserve"> el operativo en gran parte </w:t>
      </w:r>
      <w:r w:rsidR="00B27807" w:rsidRPr="00331929">
        <w:rPr>
          <w:rFonts w:ascii="Times New Roman" w:hAnsi="Times New Roman" w:cs="Times New Roman"/>
          <w:sz w:val="20"/>
          <w:szCs w:val="20"/>
          <w:lang w:val="es-ES"/>
        </w:rPr>
        <w:t>se realizó con el apoyo de las organizaciones</w:t>
      </w:r>
      <w:r w:rsidRPr="00331929">
        <w:rPr>
          <w:rFonts w:ascii="Times New Roman" w:hAnsi="Times New Roman" w:cs="Times New Roman"/>
          <w:sz w:val="20"/>
          <w:szCs w:val="20"/>
          <w:lang w:val="es-ES"/>
        </w:rPr>
        <w:t xml:space="preserve"> del sector, con lo cual creo que debe ser bastante fiel el dato, además hay que tener en cuenta que los productores tenían gran interés en censarse ya que el certificado censal era un requisito para poder acceder a</w:t>
      </w:r>
      <w:r w:rsidR="00B27807" w:rsidRPr="00331929">
        <w:rPr>
          <w:rFonts w:ascii="Times New Roman" w:hAnsi="Times New Roman" w:cs="Times New Roman"/>
          <w:sz w:val="20"/>
          <w:szCs w:val="20"/>
          <w:lang w:val="es-ES"/>
        </w:rPr>
        <w:t xml:space="preserve"> </w:t>
      </w:r>
      <w:r w:rsidRPr="00331929">
        <w:rPr>
          <w:rFonts w:ascii="Times New Roman" w:hAnsi="Times New Roman" w:cs="Times New Roman"/>
          <w:sz w:val="20"/>
          <w:szCs w:val="20"/>
          <w:lang w:val="es-ES"/>
        </w:rPr>
        <w:t>l</w:t>
      </w:r>
      <w:r w:rsidR="00B27807" w:rsidRPr="00331929">
        <w:rPr>
          <w:rFonts w:ascii="Times New Roman" w:hAnsi="Times New Roman" w:cs="Times New Roman"/>
          <w:sz w:val="20"/>
          <w:szCs w:val="20"/>
          <w:lang w:val="es-ES"/>
        </w:rPr>
        <w:t>a inscripción en el</w:t>
      </w:r>
      <w:r w:rsidRPr="00331929">
        <w:rPr>
          <w:rFonts w:ascii="Times New Roman" w:hAnsi="Times New Roman" w:cs="Times New Roman"/>
          <w:sz w:val="20"/>
          <w:szCs w:val="20"/>
          <w:lang w:val="es-ES"/>
        </w:rPr>
        <w:t xml:space="preserve"> </w:t>
      </w:r>
      <w:r w:rsidR="00EE5582" w:rsidRPr="00331929">
        <w:rPr>
          <w:rFonts w:ascii="Times New Roman" w:hAnsi="Times New Roman" w:cs="Times New Roman"/>
          <w:sz w:val="20"/>
          <w:szCs w:val="20"/>
          <w:lang w:val="es-ES"/>
        </w:rPr>
        <w:t>FET de</w:t>
      </w:r>
      <w:r w:rsidRPr="00331929">
        <w:rPr>
          <w:rFonts w:ascii="Times New Roman" w:hAnsi="Times New Roman" w:cs="Times New Roman"/>
          <w:sz w:val="20"/>
          <w:szCs w:val="20"/>
          <w:lang w:val="es-ES"/>
        </w:rPr>
        <w:t xml:space="preserve"> la campaña posterior al operativo.</w:t>
      </w:r>
    </w:p>
    <w:p w14:paraId="7BD9E171" w14:textId="4DC5993B" w:rsidR="00241D53" w:rsidRPr="00331929" w:rsidRDefault="00D07A70" w:rsidP="00AC03A4">
      <w:pPr>
        <w:shd w:val="clear" w:color="auto" w:fill="FFFFFF"/>
        <w:spacing w:before="120" w:after="120" w:line="240" w:lineRule="auto"/>
        <w:ind w:left="360"/>
        <w:jc w:val="both"/>
        <w:rPr>
          <w:rFonts w:ascii="Times New Roman" w:hAnsi="Times New Roman" w:cs="Times New Roman"/>
          <w:lang w:val="es-AR"/>
        </w:rPr>
      </w:pPr>
      <w:r w:rsidRPr="00331929">
        <w:rPr>
          <w:rFonts w:ascii="Times New Roman" w:hAnsi="Times New Roman" w:cs="Times New Roman"/>
          <w:lang w:val="es-AR"/>
        </w:rPr>
        <w:t xml:space="preserve">En relación </w:t>
      </w:r>
      <w:r w:rsidR="00AC0523">
        <w:rPr>
          <w:rFonts w:ascii="Times New Roman" w:hAnsi="Times New Roman" w:cs="Times New Roman"/>
          <w:lang w:val="es-AR"/>
        </w:rPr>
        <w:t>con</w:t>
      </w:r>
      <w:r w:rsidRPr="00331929">
        <w:rPr>
          <w:rFonts w:ascii="Times New Roman" w:hAnsi="Times New Roman" w:cs="Times New Roman"/>
          <w:lang w:val="es-AR"/>
        </w:rPr>
        <w:t xml:space="preserve"> su análisis sobre la diminución de la EAPs </w:t>
      </w:r>
      <w:r w:rsidR="00EE41EB">
        <w:rPr>
          <w:rFonts w:ascii="Times New Roman" w:hAnsi="Times New Roman" w:cs="Times New Roman"/>
          <w:lang w:val="es-AR"/>
        </w:rPr>
        <w:t>sin lí</w:t>
      </w:r>
      <w:r w:rsidRPr="00331929">
        <w:rPr>
          <w:rFonts w:ascii="Times New Roman" w:hAnsi="Times New Roman" w:cs="Times New Roman"/>
          <w:lang w:val="es-AR"/>
        </w:rPr>
        <w:t>mites definidos nos manifestó:</w:t>
      </w:r>
    </w:p>
    <w:p w14:paraId="70AA96E5" w14:textId="77777777" w:rsidR="003E411A" w:rsidRPr="00331929" w:rsidRDefault="00146AEA" w:rsidP="00AC03A4">
      <w:pPr>
        <w:ind w:left="567" w:right="567"/>
        <w:jc w:val="both"/>
        <w:rPr>
          <w:rFonts w:ascii="Times New Roman" w:hAnsi="Times New Roman" w:cs="Times New Roman"/>
          <w:sz w:val="20"/>
          <w:szCs w:val="20"/>
          <w:lang w:val="es-ES"/>
        </w:rPr>
      </w:pPr>
      <w:r w:rsidRPr="00331929">
        <w:rPr>
          <w:rFonts w:ascii="Times New Roman" w:hAnsi="Times New Roman" w:cs="Times New Roman"/>
          <w:sz w:val="20"/>
          <w:szCs w:val="20"/>
          <w:lang w:val="es-ES"/>
        </w:rPr>
        <w:t>Es muy importante tener en cuenta que e</w:t>
      </w:r>
      <w:r w:rsidR="00B27807" w:rsidRPr="00331929">
        <w:rPr>
          <w:rFonts w:ascii="Times New Roman" w:hAnsi="Times New Roman" w:cs="Times New Roman"/>
          <w:sz w:val="20"/>
          <w:szCs w:val="20"/>
          <w:lang w:val="es-ES"/>
        </w:rPr>
        <w:t>n este operativo hay muchas EAPs</w:t>
      </w:r>
      <w:r w:rsidRPr="00331929">
        <w:rPr>
          <w:rFonts w:ascii="Times New Roman" w:hAnsi="Times New Roman" w:cs="Times New Roman"/>
          <w:sz w:val="20"/>
          <w:szCs w:val="20"/>
          <w:lang w:val="es-ES"/>
        </w:rPr>
        <w:t xml:space="preserve"> que son comunidades indígenas que declararon sus límites en base a los mapas de usos y cos</w:t>
      </w:r>
      <w:r w:rsidR="00B27807" w:rsidRPr="00331929">
        <w:rPr>
          <w:rFonts w:ascii="Times New Roman" w:hAnsi="Times New Roman" w:cs="Times New Roman"/>
          <w:sz w:val="20"/>
          <w:szCs w:val="20"/>
          <w:lang w:val="es-ES"/>
        </w:rPr>
        <w:t>tumbres del relevamiento de la L</w:t>
      </w:r>
      <w:r w:rsidRPr="00331929">
        <w:rPr>
          <w:rFonts w:ascii="Times New Roman" w:hAnsi="Times New Roman" w:cs="Times New Roman"/>
          <w:sz w:val="20"/>
          <w:szCs w:val="20"/>
          <w:lang w:val="es-ES"/>
        </w:rPr>
        <w:t xml:space="preserve">ey 26160 y modificatorias, es decir pasaron de ser una EAP </w:t>
      </w:r>
      <w:r w:rsidR="00377B0A" w:rsidRPr="00331929">
        <w:rPr>
          <w:rFonts w:ascii="Times New Roman" w:hAnsi="Times New Roman" w:cs="Times New Roman"/>
          <w:sz w:val="20"/>
          <w:szCs w:val="20"/>
          <w:lang w:val="es-ES"/>
        </w:rPr>
        <w:t>sin límites definidos</w:t>
      </w:r>
      <w:r w:rsidRPr="00331929">
        <w:rPr>
          <w:rFonts w:ascii="Times New Roman" w:hAnsi="Times New Roman" w:cs="Times New Roman"/>
          <w:sz w:val="20"/>
          <w:szCs w:val="20"/>
          <w:lang w:val="es-ES"/>
        </w:rPr>
        <w:t xml:space="preserve"> a una </w:t>
      </w:r>
      <w:r w:rsidR="00377B0A" w:rsidRPr="00331929">
        <w:rPr>
          <w:rFonts w:ascii="Times New Roman" w:hAnsi="Times New Roman" w:cs="Times New Roman"/>
          <w:sz w:val="20"/>
          <w:szCs w:val="20"/>
          <w:lang w:val="es-ES"/>
        </w:rPr>
        <w:t xml:space="preserve">con límites definidos </w:t>
      </w:r>
      <w:r w:rsidR="00EE41EB">
        <w:rPr>
          <w:rFonts w:ascii="Times New Roman" w:hAnsi="Times New Roman" w:cs="Times New Roman"/>
          <w:sz w:val="20"/>
          <w:szCs w:val="20"/>
          <w:lang w:val="es-ES"/>
        </w:rPr>
        <w:t>y también m</w:t>
      </w:r>
      <w:r w:rsidRPr="00331929">
        <w:rPr>
          <w:rFonts w:ascii="Times New Roman" w:hAnsi="Times New Roman" w:cs="Times New Roman"/>
          <w:sz w:val="20"/>
          <w:szCs w:val="20"/>
          <w:lang w:val="es-ES"/>
        </w:rPr>
        <w:t>ixtas (</w:t>
      </w:r>
      <w:r w:rsidR="00377B0A" w:rsidRPr="00331929">
        <w:rPr>
          <w:rFonts w:ascii="Times New Roman" w:hAnsi="Times New Roman" w:cs="Times New Roman"/>
          <w:sz w:val="20"/>
          <w:szCs w:val="20"/>
          <w:lang w:val="es-ES"/>
        </w:rPr>
        <w:t>terrenos sin límites</w:t>
      </w:r>
      <w:r w:rsidRPr="00331929">
        <w:rPr>
          <w:rFonts w:ascii="Times New Roman" w:hAnsi="Times New Roman" w:cs="Times New Roman"/>
          <w:sz w:val="20"/>
          <w:szCs w:val="20"/>
          <w:lang w:val="es-ES"/>
        </w:rPr>
        <w:t>)</w:t>
      </w:r>
      <w:r w:rsidR="00B27807" w:rsidRPr="00331929">
        <w:rPr>
          <w:rFonts w:ascii="Times New Roman" w:hAnsi="Times New Roman" w:cs="Times New Roman"/>
          <w:sz w:val="20"/>
          <w:szCs w:val="20"/>
          <w:lang w:val="es-ES"/>
        </w:rPr>
        <w:t>.</w:t>
      </w:r>
    </w:p>
    <w:p w14:paraId="5B6BD04B" w14:textId="195AC6B7" w:rsidR="005C3380" w:rsidRPr="00331929" w:rsidRDefault="005C3380" w:rsidP="00AC03A4">
      <w:pPr>
        <w:shd w:val="clear" w:color="auto" w:fill="FFFFFF"/>
        <w:spacing w:before="120" w:after="120" w:line="240" w:lineRule="auto"/>
        <w:ind w:left="360"/>
        <w:jc w:val="both"/>
        <w:rPr>
          <w:rFonts w:ascii="Times New Roman" w:hAnsi="Times New Roman" w:cs="Times New Roman"/>
          <w:lang w:val="es-AR"/>
        </w:rPr>
      </w:pPr>
      <w:r w:rsidRPr="00331929">
        <w:rPr>
          <w:rFonts w:ascii="Times New Roman" w:hAnsi="Times New Roman" w:cs="Times New Roman"/>
          <w:lang w:val="es-AR"/>
        </w:rPr>
        <w:t xml:space="preserve">En </w:t>
      </w:r>
      <w:r w:rsidR="00EE5582" w:rsidRPr="00331929">
        <w:rPr>
          <w:rFonts w:ascii="Times New Roman" w:hAnsi="Times New Roman" w:cs="Times New Roman"/>
          <w:lang w:val="es-AR"/>
        </w:rPr>
        <w:t xml:space="preserve">relación </w:t>
      </w:r>
      <w:r w:rsidR="00AC0523">
        <w:rPr>
          <w:rFonts w:ascii="Times New Roman" w:hAnsi="Times New Roman" w:cs="Times New Roman"/>
          <w:lang w:val="es-AR"/>
        </w:rPr>
        <w:t>con</w:t>
      </w:r>
      <w:r w:rsidRPr="00331929">
        <w:rPr>
          <w:rFonts w:ascii="Times New Roman" w:hAnsi="Times New Roman" w:cs="Times New Roman"/>
          <w:lang w:val="es-AR"/>
        </w:rPr>
        <w:t xml:space="preserve"> la </w:t>
      </w:r>
      <w:r w:rsidR="00EE5582" w:rsidRPr="00331929">
        <w:rPr>
          <w:rFonts w:ascii="Times New Roman" w:hAnsi="Times New Roman" w:cs="Times New Roman"/>
          <w:lang w:val="es-AR"/>
        </w:rPr>
        <w:t>disminución de</w:t>
      </w:r>
      <w:r w:rsidRPr="00331929">
        <w:rPr>
          <w:rFonts w:ascii="Times New Roman" w:hAnsi="Times New Roman" w:cs="Times New Roman"/>
          <w:lang w:val="es-AR"/>
        </w:rPr>
        <w:t xml:space="preserve"> los ocupantes de hecho</w:t>
      </w:r>
      <w:r w:rsidR="00B27807" w:rsidRPr="00331929">
        <w:rPr>
          <w:rFonts w:ascii="Times New Roman" w:hAnsi="Times New Roman" w:cs="Times New Roman"/>
          <w:lang w:val="es-AR"/>
        </w:rPr>
        <w:t>,</w:t>
      </w:r>
      <w:r w:rsidRPr="00331929">
        <w:rPr>
          <w:rFonts w:ascii="Times New Roman" w:hAnsi="Times New Roman" w:cs="Times New Roman"/>
          <w:lang w:val="es-AR"/>
        </w:rPr>
        <w:t xml:space="preserve"> nos </w:t>
      </w:r>
      <w:r w:rsidR="00EE5582" w:rsidRPr="00331929">
        <w:rPr>
          <w:rFonts w:ascii="Times New Roman" w:hAnsi="Times New Roman" w:cs="Times New Roman"/>
          <w:lang w:val="es-AR"/>
        </w:rPr>
        <w:t>señaló</w:t>
      </w:r>
      <w:r w:rsidR="00B27807" w:rsidRPr="00331929">
        <w:rPr>
          <w:rFonts w:ascii="Times New Roman" w:hAnsi="Times New Roman" w:cs="Times New Roman"/>
          <w:lang w:val="es-AR"/>
        </w:rPr>
        <w:t xml:space="preserve"> lo siguiente</w:t>
      </w:r>
      <w:r w:rsidR="00EE5582" w:rsidRPr="00331929">
        <w:rPr>
          <w:rFonts w:ascii="Times New Roman" w:hAnsi="Times New Roman" w:cs="Times New Roman"/>
          <w:lang w:val="es-AR"/>
        </w:rPr>
        <w:t>:</w:t>
      </w:r>
    </w:p>
    <w:p w14:paraId="5222A5E3" w14:textId="77777777" w:rsidR="005C3380" w:rsidRPr="00331929" w:rsidRDefault="005C3380" w:rsidP="00AC03A4">
      <w:pPr>
        <w:ind w:left="567" w:right="567"/>
        <w:jc w:val="both"/>
        <w:rPr>
          <w:rFonts w:ascii="Times New Roman" w:hAnsi="Times New Roman" w:cs="Times New Roman"/>
          <w:sz w:val="20"/>
          <w:szCs w:val="20"/>
          <w:lang w:val="es-ES"/>
        </w:rPr>
      </w:pPr>
      <w:r w:rsidRPr="00331929">
        <w:rPr>
          <w:rFonts w:ascii="Times New Roman" w:hAnsi="Times New Roman" w:cs="Times New Roman"/>
          <w:sz w:val="20"/>
          <w:szCs w:val="20"/>
          <w:lang w:val="es-ES"/>
        </w:rPr>
        <w:t>En este caso, creo que responde a la metodología del operativo</w:t>
      </w:r>
      <w:r w:rsidR="00B27807" w:rsidRPr="00331929">
        <w:rPr>
          <w:rFonts w:ascii="Times New Roman" w:hAnsi="Times New Roman" w:cs="Times New Roman"/>
          <w:sz w:val="20"/>
          <w:szCs w:val="20"/>
          <w:lang w:val="es-ES"/>
        </w:rPr>
        <w:t>,</w:t>
      </w:r>
      <w:r w:rsidRPr="00331929">
        <w:rPr>
          <w:rFonts w:ascii="Times New Roman" w:hAnsi="Times New Roman" w:cs="Times New Roman"/>
          <w:sz w:val="20"/>
          <w:szCs w:val="20"/>
          <w:lang w:val="es-ES"/>
        </w:rPr>
        <w:t xml:space="preserve"> en el cual en la mayoría de los casos de ocupantes (comunidades campesinas e indígenas) utilizaron otras opciones para reconocer la ocupación de los territorios en que viven y producen, ya que </w:t>
      </w:r>
      <w:r w:rsidR="00EE41EB">
        <w:rPr>
          <w:rFonts w:ascii="Times New Roman" w:hAnsi="Times New Roman" w:cs="Times New Roman"/>
          <w:sz w:val="20"/>
          <w:szCs w:val="20"/>
          <w:lang w:val="es-ES"/>
        </w:rPr>
        <w:t xml:space="preserve">esto </w:t>
      </w:r>
      <w:r w:rsidRPr="00331929">
        <w:rPr>
          <w:rFonts w:ascii="Times New Roman" w:hAnsi="Times New Roman" w:cs="Times New Roman"/>
          <w:sz w:val="20"/>
          <w:szCs w:val="20"/>
          <w:lang w:val="es-ES"/>
        </w:rPr>
        <w:t>les permitía una po</w:t>
      </w:r>
      <w:r w:rsidR="00EE41EB">
        <w:rPr>
          <w:rFonts w:ascii="Times New Roman" w:hAnsi="Times New Roman" w:cs="Times New Roman"/>
          <w:sz w:val="20"/>
          <w:szCs w:val="20"/>
          <w:lang w:val="es-ES"/>
        </w:rPr>
        <w:t xml:space="preserve">sición de derechos más fuerte, al </w:t>
      </w:r>
      <w:r w:rsidRPr="00331929">
        <w:rPr>
          <w:rFonts w:ascii="Times New Roman" w:hAnsi="Times New Roman" w:cs="Times New Roman"/>
          <w:sz w:val="20"/>
          <w:szCs w:val="20"/>
          <w:lang w:val="es-ES"/>
        </w:rPr>
        <w:t>no reconocer el permiso de un supuesto propietario.</w:t>
      </w:r>
    </w:p>
    <w:p w14:paraId="585E4AD4" w14:textId="5D3E5ABF" w:rsidR="00CC7EE2" w:rsidRPr="00331929" w:rsidRDefault="00CC7EE2" w:rsidP="00AC03A4">
      <w:pPr>
        <w:spacing w:after="0"/>
        <w:ind w:firstLine="720"/>
        <w:jc w:val="both"/>
        <w:rPr>
          <w:rFonts w:ascii="Times New Roman" w:hAnsi="Times New Roman" w:cs="Times New Roman"/>
          <w:lang w:val="es-ES"/>
        </w:rPr>
      </w:pPr>
      <w:r w:rsidRPr="00331929">
        <w:rPr>
          <w:rFonts w:ascii="Times New Roman" w:hAnsi="Times New Roman" w:cs="Times New Roman"/>
          <w:lang w:val="es-ES"/>
        </w:rPr>
        <w:t>Luego de es</w:t>
      </w:r>
      <w:r>
        <w:rPr>
          <w:rFonts w:ascii="Times New Roman" w:hAnsi="Times New Roman" w:cs="Times New Roman"/>
          <w:lang w:val="es-ES"/>
        </w:rPr>
        <w:t xml:space="preserve">te recorrido analizando los </w:t>
      </w:r>
      <w:r w:rsidRPr="00331929">
        <w:rPr>
          <w:rFonts w:ascii="Times New Roman" w:hAnsi="Times New Roman" w:cs="Times New Roman"/>
          <w:lang w:val="es-ES"/>
        </w:rPr>
        <w:t xml:space="preserve">resultados preliminares del Censo 2018, los que fueron contrastados con los de otras fuentes estadísticas y trabajos de investigación, </w:t>
      </w:r>
      <w:r>
        <w:rPr>
          <w:rFonts w:ascii="Times New Roman" w:hAnsi="Times New Roman" w:cs="Times New Roman"/>
          <w:lang w:val="es-ES"/>
        </w:rPr>
        <w:t>así como cotejados con</w:t>
      </w:r>
      <w:r w:rsidRPr="00331929">
        <w:rPr>
          <w:rFonts w:ascii="Times New Roman" w:hAnsi="Times New Roman" w:cs="Times New Roman"/>
          <w:lang w:val="es-ES"/>
        </w:rPr>
        <w:t xml:space="preserve"> lo expresado por algunos/as de los/as involucrados en el relevamiento censal, nos encontramos frente a la presencia de algunas anomalías o sub registros que nos generan muchos interrogantes al momento de dar c</w:t>
      </w:r>
      <w:r>
        <w:rPr>
          <w:rFonts w:ascii="Times New Roman" w:hAnsi="Times New Roman" w:cs="Times New Roman"/>
          <w:lang w:val="es-ES"/>
        </w:rPr>
        <w:t>uenta de las transformaciones que sufrió</w:t>
      </w:r>
      <w:r w:rsidRPr="00331929">
        <w:rPr>
          <w:rFonts w:ascii="Times New Roman" w:hAnsi="Times New Roman" w:cs="Times New Roman"/>
          <w:lang w:val="es-ES"/>
        </w:rPr>
        <w:t xml:space="preserve"> la estructura agraria salteña en el período intercensal 2002- 2018. </w:t>
      </w:r>
    </w:p>
    <w:p w14:paraId="34698E45" w14:textId="77777777" w:rsidR="00CC7EE2" w:rsidRPr="00331929" w:rsidRDefault="00CC7EE2" w:rsidP="00AC03A4">
      <w:pPr>
        <w:ind w:firstLine="720"/>
        <w:jc w:val="both"/>
        <w:rPr>
          <w:rFonts w:ascii="Times New Roman" w:hAnsi="Times New Roman" w:cs="Times New Roman"/>
          <w:lang w:val="es-AR"/>
        </w:rPr>
      </w:pPr>
      <w:r w:rsidRPr="00331929">
        <w:rPr>
          <w:rFonts w:ascii="Times New Roman" w:hAnsi="Times New Roman" w:cs="Times New Roman"/>
          <w:lang w:val="es-ES"/>
        </w:rPr>
        <w:t>P</w:t>
      </w:r>
      <w:r w:rsidRPr="00331929">
        <w:rPr>
          <w:rFonts w:ascii="Times New Roman" w:hAnsi="Times New Roman" w:cs="Times New Roman"/>
          <w:lang w:val="es-AR"/>
        </w:rPr>
        <w:t xml:space="preserve">robablemente algunas de las incongruencias que se constatan respecto al año 2002 puedan ser reconsideradas cuando se difundan los resultados completos del CNA 2018. De todas maneras, nos queda la sensación que las falencias de tipo metodológico y operativas </w:t>
      </w:r>
      <w:r>
        <w:rPr>
          <w:rFonts w:ascii="Times New Roman" w:hAnsi="Times New Roman" w:cs="Times New Roman"/>
          <w:lang w:val="es-AR"/>
        </w:rPr>
        <w:t xml:space="preserve">en que se incurrió, </w:t>
      </w:r>
      <w:r w:rsidRPr="00331929">
        <w:rPr>
          <w:rFonts w:ascii="Times New Roman" w:hAnsi="Times New Roman" w:cs="Times New Roman"/>
          <w:lang w:val="es-AR"/>
        </w:rPr>
        <w:t xml:space="preserve">significaron la pérdida de una importante oportunidad para contar con información fehaciente y de calidad </w:t>
      </w:r>
      <w:r>
        <w:rPr>
          <w:rFonts w:ascii="Times New Roman" w:hAnsi="Times New Roman" w:cs="Times New Roman"/>
          <w:lang w:val="es-AR"/>
        </w:rPr>
        <w:t xml:space="preserve">para caracterizar convenientemente </w:t>
      </w:r>
      <w:r w:rsidRPr="00331929">
        <w:rPr>
          <w:rFonts w:ascii="Times New Roman" w:hAnsi="Times New Roman" w:cs="Times New Roman"/>
          <w:lang w:val="es-AR"/>
        </w:rPr>
        <w:t>la estructura agraria de la Provincia de Salta.</w:t>
      </w:r>
    </w:p>
    <w:p w14:paraId="1642CABC" w14:textId="0F23D984" w:rsidR="00187B58" w:rsidRDefault="00CC7EE2" w:rsidP="008C1C49">
      <w:pPr>
        <w:spacing w:after="120"/>
        <w:jc w:val="both"/>
        <w:rPr>
          <w:rFonts w:ascii="Times New Roman" w:hAnsi="Times New Roman" w:cs="Times New Roman"/>
          <w:b/>
          <w:lang w:val="es-ES"/>
        </w:rPr>
      </w:pPr>
      <w:r>
        <w:rPr>
          <w:rFonts w:ascii="Times New Roman" w:hAnsi="Times New Roman" w:cs="Times New Roman"/>
          <w:b/>
          <w:lang w:val="es-ES"/>
        </w:rPr>
        <w:t>Conclusiones</w:t>
      </w:r>
      <w:r w:rsidR="006D034E">
        <w:rPr>
          <w:rFonts w:ascii="Times New Roman" w:hAnsi="Times New Roman" w:cs="Times New Roman"/>
          <w:b/>
          <w:lang w:val="es-ES"/>
        </w:rPr>
        <w:t>:</w:t>
      </w:r>
    </w:p>
    <w:p w14:paraId="03E0E340" w14:textId="6607B3A7" w:rsidR="006D034E" w:rsidRPr="006D034E" w:rsidRDefault="00AF41C0" w:rsidP="008C1C49">
      <w:pPr>
        <w:ind w:firstLine="720"/>
        <w:jc w:val="both"/>
        <w:rPr>
          <w:rFonts w:ascii="Times New Roman" w:hAnsi="Times New Roman" w:cs="Times New Roman"/>
          <w:lang w:val="es-ES"/>
        </w:rPr>
      </w:pPr>
      <w:r>
        <w:rPr>
          <w:rFonts w:ascii="Times New Roman" w:hAnsi="Times New Roman" w:cs="Times New Roman"/>
          <w:lang w:val="es-ES"/>
        </w:rPr>
        <w:t>Tomando en cuenta la información brindada por el CNA 2018 m</w:t>
      </w:r>
      <w:r w:rsidR="00891370">
        <w:rPr>
          <w:rFonts w:ascii="Times New Roman" w:hAnsi="Times New Roman" w:cs="Times New Roman"/>
          <w:lang w:val="es-ES"/>
        </w:rPr>
        <w:t xml:space="preserve">ás la aportada por </w:t>
      </w:r>
      <w:r w:rsidR="0019659F">
        <w:rPr>
          <w:rFonts w:ascii="Times New Roman" w:hAnsi="Times New Roman" w:cs="Times New Roman"/>
          <w:lang w:val="es-ES"/>
        </w:rPr>
        <w:t xml:space="preserve">otras fuentes consultadas, se pueden </w:t>
      </w:r>
      <w:r w:rsidR="008C1C49">
        <w:rPr>
          <w:rFonts w:ascii="Times New Roman" w:hAnsi="Times New Roman" w:cs="Times New Roman"/>
          <w:lang w:val="es-ES"/>
        </w:rPr>
        <w:t xml:space="preserve">identificar una serie de </w:t>
      </w:r>
      <w:r w:rsidR="0019659F">
        <w:rPr>
          <w:rFonts w:ascii="Times New Roman" w:hAnsi="Times New Roman" w:cs="Times New Roman"/>
          <w:lang w:val="es-ES"/>
        </w:rPr>
        <w:t xml:space="preserve">procesos </w:t>
      </w:r>
      <w:r w:rsidR="008C1C49">
        <w:rPr>
          <w:rFonts w:ascii="Times New Roman" w:hAnsi="Times New Roman" w:cs="Times New Roman"/>
          <w:lang w:val="es-ES"/>
        </w:rPr>
        <w:t>de transformación de l</w:t>
      </w:r>
      <w:r w:rsidR="0019659F">
        <w:rPr>
          <w:rFonts w:ascii="Times New Roman" w:hAnsi="Times New Roman" w:cs="Times New Roman"/>
          <w:lang w:val="es-ES"/>
        </w:rPr>
        <w:t xml:space="preserve">a estructura agraria </w:t>
      </w:r>
      <w:r w:rsidR="008C1C49">
        <w:rPr>
          <w:rFonts w:ascii="Times New Roman" w:hAnsi="Times New Roman" w:cs="Times New Roman"/>
          <w:lang w:val="es-ES"/>
        </w:rPr>
        <w:t>salteña durante</w:t>
      </w:r>
      <w:r w:rsidR="0019659F">
        <w:rPr>
          <w:rFonts w:ascii="Times New Roman" w:hAnsi="Times New Roman" w:cs="Times New Roman"/>
          <w:lang w:val="es-ES"/>
        </w:rPr>
        <w:t xml:space="preserve"> el per</w:t>
      </w:r>
      <w:r w:rsidR="008C1C49">
        <w:rPr>
          <w:rFonts w:ascii="Times New Roman" w:hAnsi="Times New Roman" w:cs="Times New Roman"/>
          <w:lang w:val="es-ES"/>
        </w:rPr>
        <w:t>íodo intercensal. Estos procesos s</w:t>
      </w:r>
      <w:r w:rsidR="0019659F">
        <w:rPr>
          <w:rFonts w:ascii="Times New Roman" w:hAnsi="Times New Roman" w:cs="Times New Roman"/>
          <w:lang w:val="es-ES"/>
        </w:rPr>
        <w:t>on los siguientes:</w:t>
      </w:r>
    </w:p>
    <w:p w14:paraId="3F866EEA" w14:textId="77777777" w:rsidR="00AC03A4" w:rsidRPr="008C1C49" w:rsidRDefault="0019659F" w:rsidP="00AC03A4">
      <w:pPr>
        <w:jc w:val="both"/>
        <w:rPr>
          <w:rFonts w:ascii="Times New Roman" w:hAnsi="Times New Roman" w:cs="Times New Roman"/>
          <w:b/>
        </w:rPr>
      </w:pPr>
      <w:r w:rsidRPr="008C1C49">
        <w:rPr>
          <w:rFonts w:ascii="Times New Roman" w:hAnsi="Times New Roman" w:cs="Times New Roman"/>
          <w:b/>
        </w:rPr>
        <w:t xml:space="preserve">Proceso N°1: </w:t>
      </w:r>
    </w:p>
    <w:p w14:paraId="0D00FC62" w14:textId="07F60D5A" w:rsidR="00AD0195" w:rsidRDefault="00AD0195" w:rsidP="00AC03A4">
      <w:pPr>
        <w:ind w:firstLine="720"/>
        <w:jc w:val="both"/>
        <w:rPr>
          <w:rFonts w:ascii="Times New Roman" w:hAnsi="Times New Roman" w:cs="Times New Roman"/>
          <w:lang w:val="es-ES"/>
        </w:rPr>
      </w:pPr>
      <w:r>
        <w:rPr>
          <w:rFonts w:ascii="Times New Roman" w:hAnsi="Times New Roman" w:cs="Times New Roman"/>
          <w:lang w:val="es-ES"/>
        </w:rPr>
        <w:t xml:space="preserve">El área </w:t>
      </w:r>
      <w:r w:rsidR="008C1C49">
        <w:rPr>
          <w:rFonts w:ascii="Times New Roman" w:hAnsi="Times New Roman" w:cs="Times New Roman"/>
          <w:lang w:val="es-ES"/>
        </w:rPr>
        <w:t xml:space="preserve">total </w:t>
      </w:r>
      <w:r>
        <w:rPr>
          <w:rFonts w:ascii="Times New Roman" w:hAnsi="Times New Roman" w:cs="Times New Roman"/>
          <w:lang w:val="es-ES"/>
        </w:rPr>
        <w:t>explotada se increment</w:t>
      </w:r>
      <w:r w:rsidR="008C1C49">
        <w:rPr>
          <w:rFonts w:ascii="Times New Roman" w:hAnsi="Times New Roman" w:cs="Times New Roman"/>
          <w:lang w:val="es-ES"/>
        </w:rPr>
        <w:t>ó notablemente</w:t>
      </w:r>
      <w:r>
        <w:rPr>
          <w:rFonts w:ascii="Times New Roman" w:hAnsi="Times New Roman" w:cs="Times New Roman"/>
          <w:lang w:val="es-ES"/>
        </w:rPr>
        <w:t xml:space="preserve"> (56%). Esta superficie adicional dedicada a la producción, se concentró en la Región Cha</w:t>
      </w:r>
      <w:r w:rsidR="00182CDC">
        <w:rPr>
          <w:rFonts w:ascii="Times New Roman" w:hAnsi="Times New Roman" w:cs="Times New Roman"/>
          <w:lang w:val="es-ES"/>
        </w:rPr>
        <w:t>queña, en especial en el Chaco s</w:t>
      </w:r>
      <w:r>
        <w:rPr>
          <w:rFonts w:ascii="Times New Roman" w:hAnsi="Times New Roman" w:cs="Times New Roman"/>
          <w:lang w:val="es-ES"/>
        </w:rPr>
        <w:t>emi</w:t>
      </w:r>
      <w:r w:rsidR="008C1C49">
        <w:rPr>
          <w:rFonts w:ascii="Times New Roman" w:hAnsi="Times New Roman" w:cs="Times New Roman"/>
          <w:lang w:val="es-ES"/>
        </w:rPr>
        <w:t>á</w:t>
      </w:r>
      <w:r>
        <w:rPr>
          <w:rFonts w:ascii="Times New Roman" w:hAnsi="Times New Roman" w:cs="Times New Roman"/>
          <w:lang w:val="es-ES"/>
        </w:rPr>
        <w:t xml:space="preserve">rido, el cual representa un </w:t>
      </w:r>
      <w:r w:rsidR="008C1C49">
        <w:rPr>
          <w:rFonts w:ascii="Times New Roman" w:hAnsi="Times New Roman" w:cs="Times New Roman"/>
          <w:lang w:val="es-ES"/>
        </w:rPr>
        <w:t>territorio</w:t>
      </w:r>
      <w:r>
        <w:rPr>
          <w:rFonts w:ascii="Times New Roman" w:hAnsi="Times New Roman" w:cs="Times New Roman"/>
          <w:lang w:val="es-ES"/>
        </w:rPr>
        <w:t xml:space="preserve"> sumamente sensible desde el punto de vista ambiental y social. </w:t>
      </w:r>
      <w:r w:rsidR="0037466A">
        <w:rPr>
          <w:rFonts w:ascii="Times New Roman" w:hAnsi="Times New Roman" w:cs="Times New Roman"/>
          <w:lang w:val="es-ES"/>
        </w:rPr>
        <w:t>E</w:t>
      </w:r>
      <w:r>
        <w:rPr>
          <w:rFonts w:ascii="Times New Roman" w:hAnsi="Times New Roman" w:cs="Times New Roman"/>
          <w:lang w:val="es-ES"/>
        </w:rPr>
        <w:t>l proceso de “agriculturización”</w:t>
      </w:r>
      <w:r w:rsidR="008C1C49">
        <w:rPr>
          <w:rFonts w:ascii="Times New Roman" w:hAnsi="Times New Roman" w:cs="Times New Roman"/>
          <w:lang w:val="es-ES"/>
        </w:rPr>
        <w:t xml:space="preserve"> basado en </w:t>
      </w:r>
      <w:r>
        <w:rPr>
          <w:rFonts w:ascii="Times New Roman" w:hAnsi="Times New Roman" w:cs="Times New Roman"/>
          <w:lang w:val="es-ES"/>
        </w:rPr>
        <w:t>cultivos extensivos (soja, ma</w:t>
      </w:r>
      <w:r w:rsidR="0037466A">
        <w:rPr>
          <w:rFonts w:ascii="Times New Roman" w:hAnsi="Times New Roman" w:cs="Times New Roman"/>
          <w:lang w:val="es-ES"/>
        </w:rPr>
        <w:t xml:space="preserve">íz y poroto), fue acompañado de </w:t>
      </w:r>
      <w:r>
        <w:rPr>
          <w:rFonts w:ascii="Times New Roman" w:hAnsi="Times New Roman" w:cs="Times New Roman"/>
          <w:lang w:val="es-ES"/>
        </w:rPr>
        <w:t>un gran crecimiento de la ganadería</w:t>
      </w:r>
      <w:r w:rsidR="0037466A">
        <w:rPr>
          <w:rFonts w:ascii="Times New Roman" w:hAnsi="Times New Roman" w:cs="Times New Roman"/>
          <w:lang w:val="es-ES"/>
        </w:rPr>
        <w:t xml:space="preserve"> bovina</w:t>
      </w:r>
      <w:r>
        <w:rPr>
          <w:rFonts w:ascii="Times New Roman" w:hAnsi="Times New Roman" w:cs="Times New Roman"/>
          <w:lang w:val="es-ES"/>
        </w:rPr>
        <w:t xml:space="preserve">. Estas actividades </w:t>
      </w:r>
      <w:r w:rsidR="0037466A">
        <w:rPr>
          <w:rFonts w:ascii="Times New Roman" w:hAnsi="Times New Roman" w:cs="Times New Roman"/>
          <w:lang w:val="es-ES"/>
        </w:rPr>
        <w:t xml:space="preserve">productivas </w:t>
      </w:r>
      <w:r>
        <w:rPr>
          <w:rFonts w:ascii="Times New Roman" w:hAnsi="Times New Roman" w:cs="Times New Roman"/>
          <w:lang w:val="es-ES"/>
        </w:rPr>
        <w:t>en gran medida se realizan siguiendo paquetes tecnológicos pampeanos que priorizan el desmonte de grandes extensiones y el uso intensivo de agroquímicos</w:t>
      </w:r>
      <w:r w:rsidR="0037466A">
        <w:rPr>
          <w:rFonts w:ascii="Times New Roman" w:hAnsi="Times New Roman" w:cs="Times New Roman"/>
          <w:lang w:val="es-ES"/>
        </w:rPr>
        <w:t xml:space="preserve">, lo que tiene un fuerte impacto sobre un </w:t>
      </w:r>
      <w:r w:rsidR="00182CDC">
        <w:rPr>
          <w:rFonts w:ascii="Times New Roman" w:hAnsi="Times New Roman" w:cs="Times New Roman"/>
          <w:lang w:val="es-ES"/>
        </w:rPr>
        <w:t>paisaje ambientalmente sensible</w:t>
      </w:r>
      <w:r w:rsidR="0037466A">
        <w:rPr>
          <w:rFonts w:ascii="Times New Roman" w:hAnsi="Times New Roman" w:cs="Times New Roman"/>
          <w:lang w:val="es-ES"/>
        </w:rPr>
        <w:t xml:space="preserve"> (debido a </w:t>
      </w:r>
      <w:r w:rsidR="00182CDC">
        <w:rPr>
          <w:rFonts w:ascii="Times New Roman" w:hAnsi="Times New Roman" w:cs="Times New Roman"/>
          <w:lang w:val="es-ES"/>
        </w:rPr>
        <w:t xml:space="preserve">la </w:t>
      </w:r>
      <w:r w:rsidR="0037466A">
        <w:rPr>
          <w:rFonts w:ascii="Times New Roman" w:hAnsi="Times New Roman" w:cs="Times New Roman"/>
          <w:lang w:val="es-ES"/>
        </w:rPr>
        <w:t xml:space="preserve">ocurrencia de </w:t>
      </w:r>
      <w:r w:rsidR="00957C29">
        <w:rPr>
          <w:rFonts w:ascii="Times New Roman" w:hAnsi="Times New Roman" w:cs="Times New Roman"/>
          <w:lang w:val="es-ES"/>
        </w:rPr>
        <w:t>procesos</w:t>
      </w:r>
      <w:r w:rsidR="00182CDC">
        <w:rPr>
          <w:rFonts w:ascii="Times New Roman" w:hAnsi="Times New Roman" w:cs="Times New Roman"/>
          <w:lang w:val="es-ES"/>
        </w:rPr>
        <w:t xml:space="preserve"> de salinización, desertización y acelerada</w:t>
      </w:r>
      <w:r w:rsidR="00957C29">
        <w:rPr>
          <w:rFonts w:ascii="Times New Roman" w:hAnsi="Times New Roman" w:cs="Times New Roman"/>
          <w:lang w:val="es-ES"/>
        </w:rPr>
        <w:t xml:space="preserve"> degradación de la materia orgánica superficial</w:t>
      </w:r>
      <w:r w:rsidR="00182CDC">
        <w:rPr>
          <w:rFonts w:ascii="Times New Roman" w:hAnsi="Times New Roman" w:cs="Times New Roman"/>
          <w:lang w:val="es-ES"/>
        </w:rPr>
        <w:t xml:space="preserve"> de los suelos</w:t>
      </w:r>
      <w:r w:rsidR="0037466A">
        <w:rPr>
          <w:rFonts w:ascii="Times New Roman" w:hAnsi="Times New Roman" w:cs="Times New Roman"/>
          <w:lang w:val="es-ES"/>
        </w:rPr>
        <w:t>),</w:t>
      </w:r>
      <w:r w:rsidR="00957C29">
        <w:rPr>
          <w:rFonts w:ascii="Times New Roman" w:hAnsi="Times New Roman" w:cs="Times New Roman"/>
          <w:lang w:val="es-ES"/>
        </w:rPr>
        <w:t xml:space="preserve"> </w:t>
      </w:r>
      <w:r w:rsidR="0037466A">
        <w:rPr>
          <w:rFonts w:ascii="Times New Roman" w:hAnsi="Times New Roman" w:cs="Times New Roman"/>
          <w:lang w:val="es-ES"/>
        </w:rPr>
        <w:t>y un área</w:t>
      </w:r>
      <w:r w:rsidR="00957C29">
        <w:rPr>
          <w:rFonts w:ascii="Times New Roman" w:hAnsi="Times New Roman" w:cs="Times New Roman"/>
          <w:lang w:val="es-ES"/>
        </w:rPr>
        <w:t xml:space="preserve"> socia</w:t>
      </w:r>
      <w:r w:rsidR="0037466A">
        <w:rPr>
          <w:rFonts w:ascii="Times New Roman" w:hAnsi="Times New Roman" w:cs="Times New Roman"/>
          <w:lang w:val="es-ES"/>
        </w:rPr>
        <w:t xml:space="preserve">lmente conflictiva, con </w:t>
      </w:r>
      <w:r w:rsidR="00957C29">
        <w:rPr>
          <w:rFonts w:ascii="Times New Roman" w:hAnsi="Times New Roman" w:cs="Times New Roman"/>
          <w:lang w:val="es-ES"/>
        </w:rPr>
        <w:t>desalojo de pueblos originarios y familias “criollas”</w:t>
      </w:r>
      <w:r w:rsidR="0037466A">
        <w:rPr>
          <w:rFonts w:ascii="Times New Roman" w:hAnsi="Times New Roman" w:cs="Times New Roman"/>
          <w:lang w:val="es-ES"/>
        </w:rPr>
        <w:t xml:space="preserve"> de las tierras que ocupan. Estos conflictos sociales desencadenaron</w:t>
      </w:r>
      <w:r w:rsidR="00957C29">
        <w:rPr>
          <w:rFonts w:ascii="Times New Roman" w:hAnsi="Times New Roman" w:cs="Times New Roman"/>
          <w:lang w:val="es-ES"/>
        </w:rPr>
        <w:t xml:space="preserve"> un importante proceso migratorio hacia la periferia de los pueblos de la región, generando núcleos humanos donde la pobreza es el rasgo distintivo</w:t>
      </w:r>
      <w:r w:rsidR="0037466A">
        <w:rPr>
          <w:rFonts w:ascii="Times New Roman" w:hAnsi="Times New Roman" w:cs="Times New Roman"/>
          <w:lang w:val="es-ES"/>
        </w:rPr>
        <w:t>, lo que se constata con la presencia de los mayores índices de NBI a nivel nacional</w:t>
      </w:r>
      <w:r w:rsidR="00957C29">
        <w:rPr>
          <w:rFonts w:ascii="Times New Roman" w:hAnsi="Times New Roman" w:cs="Times New Roman"/>
          <w:lang w:val="es-ES"/>
        </w:rPr>
        <w:t>.</w:t>
      </w:r>
    </w:p>
    <w:p w14:paraId="57BFBB7D" w14:textId="1DC246F0" w:rsidR="00AD0195" w:rsidRPr="008C1C49" w:rsidRDefault="00AD0195" w:rsidP="0037466A">
      <w:pPr>
        <w:spacing w:after="120"/>
        <w:jc w:val="both"/>
        <w:rPr>
          <w:rFonts w:ascii="Times New Roman" w:hAnsi="Times New Roman" w:cs="Times New Roman"/>
          <w:b/>
          <w:lang w:val="es-ES"/>
        </w:rPr>
      </w:pPr>
      <w:r w:rsidRPr="008C1C49">
        <w:rPr>
          <w:rFonts w:ascii="Times New Roman" w:hAnsi="Times New Roman" w:cs="Times New Roman"/>
          <w:b/>
          <w:lang w:val="es-ES"/>
        </w:rPr>
        <w:lastRenderedPageBreak/>
        <w:t xml:space="preserve">Proceso N°2: </w:t>
      </w:r>
    </w:p>
    <w:p w14:paraId="796A1FCE" w14:textId="149DA74C" w:rsidR="0037466A" w:rsidRDefault="00AA27D1" w:rsidP="0037466A">
      <w:pPr>
        <w:spacing w:after="0"/>
        <w:ind w:firstLine="720"/>
        <w:jc w:val="both"/>
        <w:rPr>
          <w:rFonts w:ascii="Times New Roman" w:hAnsi="Times New Roman" w:cs="Times New Roman"/>
          <w:lang w:val="es-ES"/>
        </w:rPr>
      </w:pPr>
      <w:r>
        <w:rPr>
          <w:rFonts w:ascii="Times New Roman" w:hAnsi="Times New Roman" w:cs="Times New Roman"/>
          <w:lang w:val="es-ES"/>
        </w:rPr>
        <w:t>La gran expansión en el área explotada en el per</w:t>
      </w:r>
      <w:r w:rsidR="0037466A">
        <w:rPr>
          <w:rFonts w:ascii="Times New Roman" w:hAnsi="Times New Roman" w:cs="Times New Roman"/>
          <w:lang w:val="es-ES"/>
        </w:rPr>
        <w:t>íodo intercensal</w:t>
      </w:r>
      <w:r>
        <w:rPr>
          <w:rFonts w:ascii="Times New Roman" w:hAnsi="Times New Roman" w:cs="Times New Roman"/>
          <w:lang w:val="es-ES"/>
        </w:rPr>
        <w:t xml:space="preserve"> fue acompañada de una importante concentración de la tierra en los estratos de mayor superficie. Se observa un</w:t>
      </w:r>
      <w:r w:rsidR="00B11E8F">
        <w:rPr>
          <w:rFonts w:ascii="Times New Roman" w:hAnsi="Times New Roman" w:cs="Times New Roman"/>
          <w:lang w:val="es-ES"/>
        </w:rPr>
        <w:t xml:space="preserve"> marcado</w:t>
      </w:r>
      <w:r w:rsidRPr="00AA27D1">
        <w:rPr>
          <w:rFonts w:ascii="Times New Roman" w:hAnsi="Times New Roman" w:cs="Times New Roman"/>
          <w:lang w:val="es-ES"/>
        </w:rPr>
        <w:t xml:space="preserve"> </w:t>
      </w:r>
      <w:r>
        <w:rPr>
          <w:rFonts w:ascii="Times New Roman" w:hAnsi="Times New Roman" w:cs="Times New Roman"/>
          <w:lang w:val="es-ES"/>
        </w:rPr>
        <w:t>crecimiento de</w:t>
      </w:r>
      <w:r w:rsidRPr="00AA27D1">
        <w:rPr>
          <w:rFonts w:ascii="Times New Roman" w:hAnsi="Times New Roman" w:cs="Times New Roman"/>
          <w:lang w:val="es-ES"/>
        </w:rPr>
        <w:t xml:space="preserve"> los estratos de</w:t>
      </w:r>
      <w:r>
        <w:rPr>
          <w:rFonts w:ascii="Times New Roman" w:hAnsi="Times New Roman" w:cs="Times New Roman"/>
          <w:lang w:val="es-ES"/>
        </w:rPr>
        <w:t xml:space="preserve"> mayor</w:t>
      </w:r>
      <w:r w:rsidRPr="00AA27D1">
        <w:rPr>
          <w:rFonts w:ascii="Times New Roman" w:hAnsi="Times New Roman" w:cs="Times New Roman"/>
          <w:lang w:val="es-ES"/>
        </w:rPr>
        <w:t xml:space="preserve"> superficie (de 10% en el estrato de 10.000 a 20.000 has y de 40% en el estrato de más de 20.000 has)</w:t>
      </w:r>
      <w:r w:rsidR="0037466A">
        <w:rPr>
          <w:rFonts w:ascii="Times New Roman" w:hAnsi="Times New Roman" w:cs="Times New Roman"/>
          <w:lang w:val="es-ES"/>
        </w:rPr>
        <w:t xml:space="preserve">. Este crecimiento en superficie </w:t>
      </w:r>
      <w:r w:rsidR="00B11E8F">
        <w:rPr>
          <w:rFonts w:ascii="Times New Roman" w:hAnsi="Times New Roman" w:cs="Times New Roman"/>
          <w:lang w:val="es-ES"/>
        </w:rPr>
        <w:t xml:space="preserve">en los estratos de mayor envergadura </w:t>
      </w:r>
      <w:r w:rsidR="0037466A">
        <w:rPr>
          <w:rFonts w:ascii="Times New Roman" w:hAnsi="Times New Roman" w:cs="Times New Roman"/>
          <w:lang w:val="es-ES"/>
        </w:rPr>
        <w:t xml:space="preserve">estuvo acompañado </w:t>
      </w:r>
      <w:r w:rsidR="00336655">
        <w:rPr>
          <w:rFonts w:ascii="Times New Roman" w:hAnsi="Times New Roman" w:cs="Times New Roman"/>
          <w:lang w:val="es-ES"/>
        </w:rPr>
        <w:t xml:space="preserve">de una reducción del 15% en el número total de EAPs. </w:t>
      </w:r>
    </w:p>
    <w:p w14:paraId="74EFC0CD" w14:textId="5D1ADCFA" w:rsidR="00336655" w:rsidRDefault="0037466A" w:rsidP="00336655">
      <w:pPr>
        <w:ind w:firstLine="720"/>
        <w:jc w:val="both"/>
        <w:rPr>
          <w:rFonts w:ascii="Times New Roman" w:hAnsi="Times New Roman" w:cs="Times New Roman"/>
          <w:lang w:val="es-ES"/>
        </w:rPr>
      </w:pPr>
      <w:r>
        <w:rPr>
          <w:rFonts w:ascii="Times New Roman" w:hAnsi="Times New Roman" w:cs="Times New Roman"/>
          <w:lang w:val="es-ES"/>
        </w:rPr>
        <w:t xml:space="preserve">La </w:t>
      </w:r>
      <w:r w:rsidR="00336655">
        <w:rPr>
          <w:rFonts w:ascii="Times New Roman" w:hAnsi="Times New Roman" w:cs="Times New Roman"/>
          <w:lang w:val="es-ES"/>
        </w:rPr>
        <w:t xml:space="preserve">concentración de la tierra se </w:t>
      </w:r>
      <w:r w:rsidR="00AA27D1">
        <w:rPr>
          <w:rFonts w:ascii="Times New Roman" w:hAnsi="Times New Roman" w:cs="Times New Roman"/>
          <w:lang w:val="es-ES"/>
        </w:rPr>
        <w:t>dio principalmente debido al ingreso de actores de importancia en los agronegocios a</w:t>
      </w:r>
      <w:r w:rsidR="00336655">
        <w:rPr>
          <w:rFonts w:ascii="Times New Roman" w:hAnsi="Times New Roman" w:cs="Times New Roman"/>
          <w:lang w:val="es-ES"/>
        </w:rPr>
        <w:t xml:space="preserve"> nivel nacional e internacional</w:t>
      </w:r>
      <w:r w:rsidR="00B11E8F">
        <w:rPr>
          <w:rFonts w:ascii="Times New Roman" w:hAnsi="Times New Roman" w:cs="Times New Roman"/>
          <w:lang w:val="es-ES"/>
        </w:rPr>
        <w:t xml:space="preserve">, los </w:t>
      </w:r>
      <w:r w:rsidR="00336655">
        <w:rPr>
          <w:rFonts w:ascii="Times New Roman" w:hAnsi="Times New Roman" w:cs="Times New Roman"/>
          <w:lang w:val="es-ES"/>
        </w:rPr>
        <w:t xml:space="preserve">que desarrollan sus actividades tanto a través de la explotación de tierras propias como por la incorporación de tierras en arriendo y mediería. </w:t>
      </w:r>
      <w:r w:rsidR="00B11E8F">
        <w:rPr>
          <w:rFonts w:ascii="Times New Roman" w:hAnsi="Times New Roman" w:cs="Times New Roman"/>
          <w:lang w:val="es-ES"/>
        </w:rPr>
        <w:t>En el período intercensal s</w:t>
      </w:r>
      <w:r w:rsidR="00336655" w:rsidRPr="00336655">
        <w:rPr>
          <w:rFonts w:ascii="Times New Roman" w:hAnsi="Times New Roman" w:cs="Times New Roman"/>
          <w:lang w:val="es-ES"/>
        </w:rPr>
        <w:t>e inc</w:t>
      </w:r>
      <w:r w:rsidR="00B11E8F">
        <w:rPr>
          <w:rFonts w:ascii="Times New Roman" w:hAnsi="Times New Roman" w:cs="Times New Roman"/>
          <w:lang w:val="es-ES"/>
        </w:rPr>
        <w:t>rementaron los arrendamientos en un 90%</w:t>
      </w:r>
      <w:r w:rsidR="00336655">
        <w:rPr>
          <w:rFonts w:ascii="Times New Roman" w:hAnsi="Times New Roman" w:cs="Times New Roman"/>
          <w:lang w:val="es-ES"/>
        </w:rPr>
        <w:t xml:space="preserve"> y </w:t>
      </w:r>
      <w:r w:rsidR="00336655" w:rsidRPr="00336655">
        <w:rPr>
          <w:rFonts w:ascii="Times New Roman" w:hAnsi="Times New Roman" w:cs="Times New Roman"/>
          <w:lang w:val="es-ES"/>
        </w:rPr>
        <w:t xml:space="preserve">las aparcerías </w:t>
      </w:r>
      <w:r w:rsidR="00B11E8F">
        <w:rPr>
          <w:rFonts w:ascii="Times New Roman" w:hAnsi="Times New Roman" w:cs="Times New Roman"/>
          <w:lang w:val="es-ES"/>
        </w:rPr>
        <w:t>en un 41%</w:t>
      </w:r>
      <w:r w:rsidR="00336655">
        <w:rPr>
          <w:rFonts w:ascii="Times New Roman" w:hAnsi="Times New Roman" w:cs="Times New Roman"/>
          <w:lang w:val="es-ES"/>
        </w:rPr>
        <w:t>.</w:t>
      </w:r>
    </w:p>
    <w:p w14:paraId="006E3222" w14:textId="498E7D2B" w:rsidR="00AA27D1" w:rsidRPr="008C1C49" w:rsidRDefault="00AA27D1" w:rsidP="0037466A">
      <w:pPr>
        <w:spacing w:after="120"/>
        <w:jc w:val="both"/>
        <w:rPr>
          <w:rFonts w:ascii="Times New Roman" w:hAnsi="Times New Roman" w:cs="Times New Roman"/>
          <w:b/>
          <w:lang w:val="es-ES"/>
        </w:rPr>
      </w:pPr>
      <w:r w:rsidRPr="008C1C49">
        <w:rPr>
          <w:rFonts w:ascii="Times New Roman" w:hAnsi="Times New Roman" w:cs="Times New Roman"/>
          <w:b/>
          <w:lang w:val="es-ES"/>
        </w:rPr>
        <w:t>Proceso N°3:</w:t>
      </w:r>
    </w:p>
    <w:p w14:paraId="388A8633" w14:textId="204B3215" w:rsidR="007D5A07" w:rsidRDefault="0019659F" w:rsidP="007D5A07">
      <w:pPr>
        <w:spacing w:after="0"/>
        <w:ind w:firstLine="720"/>
        <w:jc w:val="both"/>
        <w:rPr>
          <w:rFonts w:ascii="Times New Roman" w:hAnsi="Times New Roman" w:cs="Times New Roman"/>
          <w:lang w:val="es-ES"/>
        </w:rPr>
      </w:pPr>
      <w:r w:rsidRPr="00AC03A4">
        <w:rPr>
          <w:rFonts w:ascii="Times New Roman" w:hAnsi="Times New Roman" w:cs="Times New Roman"/>
          <w:lang w:val="es-ES"/>
        </w:rPr>
        <w:t>El proceso de “agriculturización”</w:t>
      </w:r>
      <w:r w:rsidR="0037466A">
        <w:rPr>
          <w:rFonts w:ascii="Times New Roman" w:hAnsi="Times New Roman" w:cs="Times New Roman"/>
          <w:lang w:val="es-ES"/>
        </w:rPr>
        <w:t xml:space="preserve"> estuvo caracterizado principalmente por</w:t>
      </w:r>
      <w:r w:rsidRPr="00AC03A4">
        <w:rPr>
          <w:rFonts w:ascii="Times New Roman" w:hAnsi="Times New Roman" w:cs="Times New Roman"/>
          <w:lang w:val="es-ES"/>
        </w:rPr>
        <w:t xml:space="preserve"> la gran expansión </w:t>
      </w:r>
      <w:r w:rsidR="007D5A07">
        <w:rPr>
          <w:rFonts w:ascii="Times New Roman" w:hAnsi="Times New Roman" w:cs="Times New Roman"/>
          <w:lang w:val="es-ES"/>
        </w:rPr>
        <w:t>que tuvieron los</w:t>
      </w:r>
      <w:r w:rsidRPr="00AC03A4">
        <w:rPr>
          <w:rFonts w:ascii="Times New Roman" w:hAnsi="Times New Roman" w:cs="Times New Roman"/>
          <w:lang w:val="es-ES"/>
        </w:rPr>
        <w:t xml:space="preserve"> cultivos extensivos en el área chaqueña </w:t>
      </w:r>
      <w:r w:rsidR="007D5A07">
        <w:rPr>
          <w:rFonts w:ascii="Times New Roman" w:hAnsi="Times New Roman" w:cs="Times New Roman"/>
          <w:lang w:val="es-ES"/>
        </w:rPr>
        <w:t>(</w:t>
      </w:r>
      <w:r w:rsidR="00B11E8F">
        <w:rPr>
          <w:rFonts w:ascii="Times New Roman" w:hAnsi="Times New Roman" w:cs="Times New Roman"/>
          <w:lang w:val="es-ES"/>
        </w:rPr>
        <w:t>Umbral al Chaco y Chaco s</w:t>
      </w:r>
      <w:r w:rsidRPr="00AC03A4">
        <w:rPr>
          <w:rFonts w:ascii="Times New Roman" w:hAnsi="Times New Roman" w:cs="Times New Roman"/>
          <w:lang w:val="es-ES"/>
        </w:rPr>
        <w:t>ubh</w:t>
      </w:r>
      <w:r w:rsidR="007D5A07">
        <w:rPr>
          <w:rFonts w:ascii="Times New Roman" w:hAnsi="Times New Roman" w:cs="Times New Roman"/>
          <w:lang w:val="es-ES"/>
        </w:rPr>
        <w:t>ú</w:t>
      </w:r>
      <w:r w:rsidRPr="00AC03A4">
        <w:rPr>
          <w:rFonts w:ascii="Times New Roman" w:hAnsi="Times New Roman" w:cs="Times New Roman"/>
          <w:lang w:val="es-ES"/>
        </w:rPr>
        <w:t>medo</w:t>
      </w:r>
      <w:r w:rsidR="007D5A07">
        <w:rPr>
          <w:rFonts w:ascii="Times New Roman" w:hAnsi="Times New Roman" w:cs="Times New Roman"/>
          <w:lang w:val="es-ES"/>
        </w:rPr>
        <w:t>)</w:t>
      </w:r>
      <w:r w:rsidRPr="00AC03A4">
        <w:rPr>
          <w:rFonts w:ascii="Times New Roman" w:hAnsi="Times New Roman" w:cs="Times New Roman"/>
          <w:lang w:val="es-ES"/>
        </w:rPr>
        <w:t>, desplazando a la ganadería hacia</w:t>
      </w:r>
      <w:r w:rsidR="00B11E8F">
        <w:rPr>
          <w:rFonts w:ascii="Times New Roman" w:hAnsi="Times New Roman" w:cs="Times New Roman"/>
          <w:lang w:val="es-ES"/>
        </w:rPr>
        <w:t xml:space="preserve"> la región del Chaco s</w:t>
      </w:r>
      <w:r w:rsidR="00AC03A4" w:rsidRPr="00AC03A4">
        <w:rPr>
          <w:rFonts w:ascii="Times New Roman" w:hAnsi="Times New Roman" w:cs="Times New Roman"/>
          <w:lang w:val="es-ES"/>
        </w:rPr>
        <w:t>emiárido, con menores precipitaciones (500 a 550 mm).</w:t>
      </w:r>
      <w:r w:rsidR="00AC03A4">
        <w:rPr>
          <w:rFonts w:ascii="Times New Roman" w:hAnsi="Times New Roman" w:cs="Times New Roman"/>
          <w:lang w:val="es-ES"/>
        </w:rPr>
        <w:t xml:space="preserve"> </w:t>
      </w:r>
    </w:p>
    <w:p w14:paraId="7A86180D" w14:textId="7CA61091" w:rsidR="008B212F" w:rsidRDefault="00957C29" w:rsidP="00B11E8F">
      <w:pPr>
        <w:spacing w:after="120"/>
        <w:ind w:firstLine="720"/>
        <w:jc w:val="both"/>
        <w:rPr>
          <w:rFonts w:ascii="Times New Roman" w:hAnsi="Times New Roman" w:cs="Times New Roman"/>
          <w:lang w:val="es-ES"/>
        </w:rPr>
      </w:pPr>
      <w:r>
        <w:rPr>
          <w:rFonts w:ascii="Times New Roman" w:hAnsi="Times New Roman" w:cs="Times New Roman"/>
          <w:lang w:val="es-ES"/>
        </w:rPr>
        <w:t xml:space="preserve">Las cifras </w:t>
      </w:r>
      <w:r w:rsidR="007D5A07">
        <w:rPr>
          <w:rFonts w:ascii="Times New Roman" w:hAnsi="Times New Roman" w:cs="Times New Roman"/>
          <w:lang w:val="es-ES"/>
        </w:rPr>
        <w:t xml:space="preserve">disponibles </w:t>
      </w:r>
      <w:r>
        <w:rPr>
          <w:rFonts w:ascii="Times New Roman" w:hAnsi="Times New Roman" w:cs="Times New Roman"/>
          <w:lang w:val="es-ES"/>
        </w:rPr>
        <w:t>sobre el crecimiento</w:t>
      </w:r>
      <w:r w:rsidR="007D5A07">
        <w:rPr>
          <w:rFonts w:ascii="Times New Roman" w:hAnsi="Times New Roman" w:cs="Times New Roman"/>
          <w:lang w:val="es-ES"/>
        </w:rPr>
        <w:t xml:space="preserve"> que tuvieron</w:t>
      </w:r>
      <w:r>
        <w:rPr>
          <w:rFonts w:ascii="Times New Roman" w:hAnsi="Times New Roman" w:cs="Times New Roman"/>
          <w:lang w:val="es-ES"/>
        </w:rPr>
        <w:t xml:space="preserve"> los cultivos extensivos resultan sumamente con</w:t>
      </w:r>
      <w:r w:rsidR="007D5A07">
        <w:rPr>
          <w:rFonts w:ascii="Times New Roman" w:hAnsi="Times New Roman" w:cs="Times New Roman"/>
          <w:lang w:val="es-ES"/>
        </w:rPr>
        <w:t>fusas. N</w:t>
      </w:r>
      <w:r>
        <w:rPr>
          <w:rFonts w:ascii="Times New Roman" w:hAnsi="Times New Roman" w:cs="Times New Roman"/>
          <w:lang w:val="es-ES"/>
        </w:rPr>
        <w:t>o obstante</w:t>
      </w:r>
      <w:r w:rsidR="007D5A07">
        <w:rPr>
          <w:rFonts w:ascii="Times New Roman" w:hAnsi="Times New Roman" w:cs="Times New Roman"/>
          <w:lang w:val="es-ES"/>
        </w:rPr>
        <w:t>,</w:t>
      </w:r>
      <w:r>
        <w:rPr>
          <w:rFonts w:ascii="Times New Roman" w:hAnsi="Times New Roman" w:cs="Times New Roman"/>
          <w:lang w:val="es-ES"/>
        </w:rPr>
        <w:t xml:space="preserve"> al recurrir al cruzamiento de </w:t>
      </w:r>
      <w:r w:rsidR="007D5A07">
        <w:rPr>
          <w:rFonts w:ascii="Times New Roman" w:hAnsi="Times New Roman" w:cs="Times New Roman"/>
          <w:lang w:val="es-ES"/>
        </w:rPr>
        <w:t xml:space="preserve">diferentes </w:t>
      </w:r>
      <w:r>
        <w:rPr>
          <w:rFonts w:ascii="Times New Roman" w:hAnsi="Times New Roman" w:cs="Times New Roman"/>
          <w:lang w:val="es-ES"/>
        </w:rPr>
        <w:t>fuentes de información, se</w:t>
      </w:r>
      <w:r w:rsidR="007D5A07">
        <w:rPr>
          <w:rFonts w:ascii="Times New Roman" w:hAnsi="Times New Roman" w:cs="Times New Roman"/>
          <w:lang w:val="es-ES"/>
        </w:rPr>
        <w:t xml:space="preserve"> observa que el principal aporte al </w:t>
      </w:r>
      <w:r>
        <w:rPr>
          <w:rFonts w:ascii="Times New Roman" w:hAnsi="Times New Roman" w:cs="Times New Roman"/>
          <w:lang w:val="es-ES"/>
        </w:rPr>
        <w:t>crecimiento del área cultivad</w:t>
      </w:r>
      <w:r w:rsidR="00B11E8F">
        <w:rPr>
          <w:rFonts w:ascii="Times New Roman" w:hAnsi="Times New Roman" w:cs="Times New Roman"/>
          <w:lang w:val="es-ES"/>
        </w:rPr>
        <w:t xml:space="preserve">a se explica por la ampliación </w:t>
      </w:r>
      <w:r>
        <w:rPr>
          <w:rFonts w:ascii="Times New Roman" w:hAnsi="Times New Roman" w:cs="Times New Roman"/>
          <w:lang w:val="es-ES"/>
        </w:rPr>
        <w:t>de</w:t>
      </w:r>
      <w:r w:rsidR="007D5A07">
        <w:rPr>
          <w:rFonts w:ascii="Times New Roman" w:hAnsi="Times New Roman" w:cs="Times New Roman"/>
          <w:lang w:val="es-ES"/>
        </w:rPr>
        <w:t xml:space="preserve">l área dedicada a </w:t>
      </w:r>
      <w:r>
        <w:rPr>
          <w:rFonts w:ascii="Times New Roman" w:hAnsi="Times New Roman" w:cs="Times New Roman"/>
          <w:lang w:val="es-ES"/>
        </w:rPr>
        <w:t>legumbres (poroto y garbanzo), as</w:t>
      </w:r>
      <w:r w:rsidR="007D5A07">
        <w:rPr>
          <w:rFonts w:ascii="Times New Roman" w:hAnsi="Times New Roman" w:cs="Times New Roman"/>
          <w:lang w:val="es-ES"/>
        </w:rPr>
        <w:t>í como a</w:t>
      </w:r>
      <w:r>
        <w:rPr>
          <w:rFonts w:ascii="Times New Roman" w:hAnsi="Times New Roman" w:cs="Times New Roman"/>
          <w:lang w:val="es-ES"/>
        </w:rPr>
        <w:t xml:space="preserve"> soja y maíz.</w:t>
      </w:r>
      <w:r w:rsidR="008B212F">
        <w:rPr>
          <w:rFonts w:ascii="Times New Roman" w:hAnsi="Times New Roman" w:cs="Times New Roman"/>
          <w:lang w:val="es-ES"/>
        </w:rPr>
        <w:t xml:space="preserve"> La gran expansión que tuvo el cultivo de maíz, (de un 500% si se toma en cuenta la información complementaria</w:t>
      </w:r>
      <w:r w:rsidR="007D5A07">
        <w:rPr>
          <w:rFonts w:ascii="Times New Roman" w:hAnsi="Times New Roman" w:cs="Times New Roman"/>
          <w:lang w:val="es-ES"/>
        </w:rPr>
        <w:t xml:space="preserve"> de la DGE</w:t>
      </w:r>
      <w:r w:rsidR="008B212F">
        <w:rPr>
          <w:rFonts w:ascii="Times New Roman" w:hAnsi="Times New Roman" w:cs="Times New Roman"/>
          <w:lang w:val="es-ES"/>
        </w:rPr>
        <w:t>)</w:t>
      </w:r>
      <w:r w:rsidR="007D5A07">
        <w:rPr>
          <w:rFonts w:ascii="Times New Roman" w:hAnsi="Times New Roman" w:cs="Times New Roman"/>
          <w:lang w:val="es-ES"/>
        </w:rPr>
        <w:t>, resulta un dato de importancia</w:t>
      </w:r>
      <w:r w:rsidR="008B212F">
        <w:rPr>
          <w:rFonts w:ascii="Times New Roman" w:hAnsi="Times New Roman" w:cs="Times New Roman"/>
          <w:lang w:val="es-ES"/>
        </w:rPr>
        <w:t xml:space="preserve"> para la conservación de los suelos de la región chaqueña, los que precisan de al menos una rotación del 30% con este cultivo para mantener los porcentajes de materia org</w:t>
      </w:r>
      <w:r w:rsidR="007D5A07">
        <w:rPr>
          <w:rFonts w:ascii="Times New Roman" w:hAnsi="Times New Roman" w:cs="Times New Roman"/>
          <w:lang w:val="es-ES"/>
        </w:rPr>
        <w:t>ánica que eviten la rápida pérdida de capacidad productiva de los mismos</w:t>
      </w:r>
      <w:r w:rsidR="008B212F">
        <w:rPr>
          <w:rFonts w:ascii="Times New Roman" w:hAnsi="Times New Roman" w:cs="Times New Roman"/>
          <w:lang w:val="es-ES"/>
        </w:rPr>
        <w:t>.</w:t>
      </w:r>
    </w:p>
    <w:p w14:paraId="68014E39" w14:textId="2E623478" w:rsidR="008C1C49" w:rsidRPr="008C1C49" w:rsidRDefault="008B212F" w:rsidP="00B11E8F">
      <w:pPr>
        <w:spacing w:after="120"/>
        <w:jc w:val="both"/>
        <w:rPr>
          <w:rFonts w:ascii="Times New Roman" w:hAnsi="Times New Roman" w:cs="Times New Roman"/>
          <w:b/>
          <w:lang w:val="es-ES"/>
        </w:rPr>
      </w:pPr>
      <w:r w:rsidRPr="008C1C49">
        <w:rPr>
          <w:rFonts w:ascii="Times New Roman" w:hAnsi="Times New Roman" w:cs="Times New Roman"/>
          <w:b/>
          <w:lang w:val="es-ES"/>
        </w:rPr>
        <w:t>P</w:t>
      </w:r>
      <w:r w:rsidR="008C1C49" w:rsidRPr="008C1C49">
        <w:rPr>
          <w:rFonts w:ascii="Times New Roman" w:hAnsi="Times New Roman" w:cs="Times New Roman"/>
          <w:b/>
          <w:lang w:val="es-ES"/>
        </w:rPr>
        <w:t>roceso N°4</w:t>
      </w:r>
      <w:r w:rsidRPr="008C1C49">
        <w:rPr>
          <w:rFonts w:ascii="Times New Roman" w:hAnsi="Times New Roman" w:cs="Times New Roman"/>
          <w:b/>
          <w:lang w:val="es-ES"/>
        </w:rPr>
        <w:t xml:space="preserve">: </w:t>
      </w:r>
    </w:p>
    <w:p w14:paraId="2AC7C80A" w14:textId="4EE32E43" w:rsidR="00AC03A4" w:rsidRDefault="008B212F" w:rsidP="007D5A07">
      <w:pPr>
        <w:spacing w:after="0"/>
        <w:ind w:firstLine="720"/>
        <w:jc w:val="both"/>
        <w:rPr>
          <w:rFonts w:ascii="Times New Roman" w:hAnsi="Times New Roman" w:cs="Times New Roman"/>
          <w:lang w:val="es-ES"/>
        </w:rPr>
      </w:pPr>
      <w:r>
        <w:rPr>
          <w:rFonts w:ascii="Times New Roman" w:hAnsi="Times New Roman" w:cs="Times New Roman"/>
          <w:lang w:val="es-ES"/>
        </w:rPr>
        <w:t>El crecimi</w:t>
      </w:r>
      <w:r w:rsidR="007D5A07">
        <w:rPr>
          <w:rFonts w:ascii="Times New Roman" w:hAnsi="Times New Roman" w:cs="Times New Roman"/>
          <w:lang w:val="es-ES"/>
        </w:rPr>
        <w:t xml:space="preserve">ento en la superficie dedicada a </w:t>
      </w:r>
      <w:r>
        <w:rPr>
          <w:rFonts w:ascii="Times New Roman" w:hAnsi="Times New Roman" w:cs="Times New Roman"/>
          <w:lang w:val="es-ES"/>
        </w:rPr>
        <w:t>cult</w:t>
      </w:r>
      <w:r w:rsidR="007D5A07">
        <w:rPr>
          <w:rFonts w:ascii="Times New Roman" w:hAnsi="Times New Roman" w:cs="Times New Roman"/>
          <w:lang w:val="es-ES"/>
        </w:rPr>
        <w:t>ivos intensivos durante</w:t>
      </w:r>
      <w:r>
        <w:rPr>
          <w:rFonts w:ascii="Times New Roman" w:hAnsi="Times New Roman" w:cs="Times New Roman"/>
          <w:lang w:val="es-ES"/>
        </w:rPr>
        <w:t xml:space="preserve"> el período</w:t>
      </w:r>
      <w:r w:rsidR="007D5A07">
        <w:rPr>
          <w:rFonts w:ascii="Times New Roman" w:hAnsi="Times New Roman" w:cs="Times New Roman"/>
          <w:lang w:val="es-ES"/>
        </w:rPr>
        <w:t xml:space="preserve"> intercensal, se explica</w:t>
      </w:r>
      <w:r>
        <w:rPr>
          <w:rFonts w:ascii="Times New Roman" w:hAnsi="Times New Roman" w:cs="Times New Roman"/>
          <w:lang w:val="es-ES"/>
        </w:rPr>
        <w:t xml:space="preserve"> </w:t>
      </w:r>
      <w:r w:rsidR="007D5A07">
        <w:rPr>
          <w:rFonts w:ascii="Times New Roman" w:hAnsi="Times New Roman" w:cs="Times New Roman"/>
          <w:lang w:val="es-ES"/>
        </w:rPr>
        <w:t xml:space="preserve">por el incremento en el cultivo </w:t>
      </w:r>
      <w:r>
        <w:rPr>
          <w:rFonts w:ascii="Times New Roman" w:hAnsi="Times New Roman" w:cs="Times New Roman"/>
          <w:lang w:val="es-ES"/>
        </w:rPr>
        <w:t>de caña de az</w:t>
      </w:r>
      <w:r w:rsidR="007D5A07">
        <w:rPr>
          <w:rFonts w:ascii="Times New Roman" w:hAnsi="Times New Roman" w:cs="Times New Roman"/>
          <w:lang w:val="es-ES"/>
        </w:rPr>
        <w:t>úcar en el Departamento</w:t>
      </w:r>
      <w:r>
        <w:rPr>
          <w:rFonts w:ascii="Times New Roman" w:hAnsi="Times New Roman" w:cs="Times New Roman"/>
          <w:lang w:val="es-ES"/>
        </w:rPr>
        <w:t xml:space="preserve"> Orán sobre terrenos dedicados anteriormente a cultivos extensivos y </w:t>
      </w:r>
      <w:r w:rsidR="007D5A07">
        <w:rPr>
          <w:rFonts w:ascii="Times New Roman" w:hAnsi="Times New Roman" w:cs="Times New Roman"/>
          <w:lang w:val="es-ES"/>
        </w:rPr>
        <w:t xml:space="preserve">a </w:t>
      </w:r>
      <w:r>
        <w:rPr>
          <w:rFonts w:ascii="Times New Roman" w:hAnsi="Times New Roman" w:cs="Times New Roman"/>
          <w:lang w:val="es-ES"/>
        </w:rPr>
        <w:t>montes cítricos</w:t>
      </w:r>
      <w:r w:rsidR="007D5A07">
        <w:rPr>
          <w:rFonts w:ascii="Times New Roman" w:hAnsi="Times New Roman" w:cs="Times New Roman"/>
          <w:lang w:val="es-ES"/>
        </w:rPr>
        <w:t>, especialmente de naranja</w:t>
      </w:r>
      <w:r>
        <w:rPr>
          <w:rFonts w:ascii="Times New Roman" w:hAnsi="Times New Roman" w:cs="Times New Roman"/>
          <w:lang w:val="es-ES"/>
        </w:rPr>
        <w:t>.</w:t>
      </w:r>
    </w:p>
    <w:p w14:paraId="03B6E763" w14:textId="38CA76B3" w:rsidR="008B212F" w:rsidRDefault="008B212F" w:rsidP="00B11E8F">
      <w:pPr>
        <w:spacing w:after="120"/>
        <w:ind w:firstLine="720"/>
        <w:jc w:val="both"/>
        <w:rPr>
          <w:rFonts w:ascii="Times New Roman" w:hAnsi="Times New Roman" w:cs="Times New Roman"/>
          <w:lang w:val="es-ES"/>
        </w:rPr>
      </w:pPr>
      <w:r>
        <w:rPr>
          <w:rFonts w:ascii="Times New Roman" w:hAnsi="Times New Roman" w:cs="Times New Roman"/>
          <w:lang w:val="es-ES"/>
        </w:rPr>
        <w:t>La superficie con tabaco se increment</w:t>
      </w:r>
      <w:r w:rsidR="007D5A07">
        <w:rPr>
          <w:rFonts w:ascii="Times New Roman" w:hAnsi="Times New Roman" w:cs="Times New Roman"/>
          <w:lang w:val="es-ES"/>
        </w:rPr>
        <w:t xml:space="preserve">ó </w:t>
      </w:r>
      <w:r>
        <w:rPr>
          <w:rFonts w:ascii="Times New Roman" w:hAnsi="Times New Roman" w:cs="Times New Roman"/>
          <w:lang w:val="es-ES"/>
        </w:rPr>
        <w:t xml:space="preserve">en </w:t>
      </w:r>
      <w:r w:rsidR="007D5A07">
        <w:rPr>
          <w:rFonts w:ascii="Times New Roman" w:hAnsi="Times New Roman" w:cs="Times New Roman"/>
          <w:lang w:val="es-ES"/>
        </w:rPr>
        <w:t xml:space="preserve">los valles </w:t>
      </w:r>
      <w:r>
        <w:rPr>
          <w:rFonts w:ascii="Times New Roman" w:hAnsi="Times New Roman" w:cs="Times New Roman"/>
          <w:lang w:val="es-ES"/>
        </w:rPr>
        <w:t xml:space="preserve">de Lerma y Siancas, desalojando </w:t>
      </w:r>
      <w:r w:rsidR="007D5A07">
        <w:rPr>
          <w:rFonts w:ascii="Times New Roman" w:hAnsi="Times New Roman" w:cs="Times New Roman"/>
          <w:lang w:val="es-ES"/>
        </w:rPr>
        <w:t xml:space="preserve">parcialmente </w:t>
      </w:r>
      <w:r>
        <w:rPr>
          <w:rFonts w:ascii="Times New Roman" w:hAnsi="Times New Roman" w:cs="Times New Roman"/>
          <w:lang w:val="es-ES"/>
        </w:rPr>
        <w:t>al cultivo de poroto</w:t>
      </w:r>
      <w:r w:rsidR="007D5A07">
        <w:rPr>
          <w:rFonts w:ascii="Times New Roman" w:hAnsi="Times New Roman" w:cs="Times New Roman"/>
          <w:lang w:val="es-ES"/>
        </w:rPr>
        <w:t>,</w:t>
      </w:r>
      <w:r>
        <w:rPr>
          <w:rFonts w:ascii="Times New Roman" w:hAnsi="Times New Roman" w:cs="Times New Roman"/>
          <w:lang w:val="es-ES"/>
        </w:rPr>
        <w:t xml:space="preserve"> debido a modificaciones en los sistemas de riego q</w:t>
      </w:r>
      <w:r w:rsidR="007D5A07">
        <w:rPr>
          <w:rFonts w:ascii="Times New Roman" w:hAnsi="Times New Roman" w:cs="Times New Roman"/>
          <w:lang w:val="es-ES"/>
        </w:rPr>
        <w:t>ue permitieron la intensificación de las actividades productivas</w:t>
      </w:r>
      <w:r>
        <w:rPr>
          <w:rFonts w:ascii="Times New Roman" w:hAnsi="Times New Roman" w:cs="Times New Roman"/>
          <w:lang w:val="es-ES"/>
        </w:rPr>
        <w:t>.</w:t>
      </w:r>
    </w:p>
    <w:p w14:paraId="679A3062" w14:textId="3B8696F1" w:rsidR="0019659F" w:rsidRPr="008C1C49" w:rsidRDefault="008C1C49" w:rsidP="00B11E8F">
      <w:pPr>
        <w:spacing w:after="120"/>
        <w:jc w:val="both"/>
        <w:rPr>
          <w:rFonts w:ascii="Times New Roman" w:hAnsi="Times New Roman" w:cs="Times New Roman"/>
          <w:b/>
        </w:rPr>
      </w:pPr>
      <w:r w:rsidRPr="008C1C49">
        <w:rPr>
          <w:rFonts w:ascii="Times New Roman" w:hAnsi="Times New Roman" w:cs="Times New Roman"/>
          <w:b/>
        </w:rPr>
        <w:t>Proceso N°5</w:t>
      </w:r>
      <w:r w:rsidR="0019659F" w:rsidRPr="008C1C49">
        <w:rPr>
          <w:rFonts w:ascii="Times New Roman" w:hAnsi="Times New Roman" w:cs="Times New Roman"/>
          <w:b/>
        </w:rPr>
        <w:t>:</w:t>
      </w:r>
    </w:p>
    <w:p w14:paraId="616FBF52" w14:textId="393D39DA" w:rsidR="007D5A07" w:rsidRDefault="008B212F" w:rsidP="008C1C49">
      <w:pPr>
        <w:spacing w:after="0"/>
        <w:ind w:firstLine="720"/>
        <w:jc w:val="both"/>
        <w:rPr>
          <w:rFonts w:ascii="Times New Roman" w:hAnsi="Times New Roman" w:cs="Times New Roman"/>
          <w:lang w:val="es-ES"/>
        </w:rPr>
      </w:pPr>
      <w:r w:rsidRPr="008C1C49">
        <w:rPr>
          <w:rFonts w:ascii="Times New Roman" w:hAnsi="Times New Roman" w:cs="Times New Roman"/>
          <w:lang w:val="es-ES"/>
        </w:rPr>
        <w:t xml:space="preserve">El gran crecimiento que tuvo la ganadería </w:t>
      </w:r>
      <w:r w:rsidR="00541FE0" w:rsidRPr="008C1C49">
        <w:rPr>
          <w:rFonts w:ascii="Times New Roman" w:hAnsi="Times New Roman" w:cs="Times New Roman"/>
          <w:lang w:val="es-ES"/>
        </w:rPr>
        <w:t xml:space="preserve">bovina </w:t>
      </w:r>
      <w:r w:rsidRPr="008C1C49">
        <w:rPr>
          <w:rFonts w:ascii="Times New Roman" w:hAnsi="Times New Roman" w:cs="Times New Roman"/>
          <w:lang w:val="es-ES"/>
        </w:rPr>
        <w:t>en el per</w:t>
      </w:r>
      <w:r w:rsidR="007D5A07">
        <w:rPr>
          <w:rFonts w:ascii="Times New Roman" w:hAnsi="Times New Roman" w:cs="Times New Roman"/>
          <w:lang w:val="es-ES"/>
        </w:rPr>
        <w:t>íodo intercensal (si se toma</w:t>
      </w:r>
      <w:r w:rsidRPr="008C1C49">
        <w:rPr>
          <w:rFonts w:ascii="Times New Roman" w:hAnsi="Times New Roman" w:cs="Times New Roman"/>
          <w:lang w:val="es-ES"/>
        </w:rPr>
        <w:t xml:space="preserve"> en cuenta la informaci</w:t>
      </w:r>
      <w:r w:rsidR="007D5A07">
        <w:rPr>
          <w:rFonts w:ascii="Times New Roman" w:hAnsi="Times New Roman" w:cs="Times New Roman"/>
          <w:lang w:val="es-ES"/>
        </w:rPr>
        <w:t>ón complementar</w:t>
      </w:r>
      <w:r w:rsidR="00541FE0" w:rsidRPr="008C1C49">
        <w:rPr>
          <w:rFonts w:ascii="Times New Roman" w:hAnsi="Times New Roman" w:cs="Times New Roman"/>
          <w:lang w:val="es-ES"/>
        </w:rPr>
        <w:t>ia de SENASA</w:t>
      </w:r>
      <w:r w:rsidR="00B11E8F">
        <w:rPr>
          <w:rFonts w:ascii="Times New Roman" w:hAnsi="Times New Roman" w:cs="Times New Roman"/>
          <w:lang w:val="es-ES"/>
        </w:rPr>
        <w:t xml:space="preserve"> y de la Dirección de Ganadería de la Provincia de Salta</w:t>
      </w:r>
      <w:r w:rsidRPr="008C1C49">
        <w:rPr>
          <w:rFonts w:ascii="Times New Roman" w:hAnsi="Times New Roman" w:cs="Times New Roman"/>
          <w:lang w:val="es-ES"/>
        </w:rPr>
        <w:t>)</w:t>
      </w:r>
      <w:r w:rsidR="00541FE0" w:rsidRPr="008C1C49">
        <w:rPr>
          <w:rFonts w:ascii="Times New Roman" w:hAnsi="Times New Roman" w:cs="Times New Roman"/>
          <w:lang w:val="es-ES"/>
        </w:rPr>
        <w:t>, fue notable, casi triplicando los valores de 2002, p</w:t>
      </w:r>
      <w:r w:rsidR="00B11E8F">
        <w:rPr>
          <w:rFonts w:ascii="Times New Roman" w:hAnsi="Times New Roman" w:cs="Times New Roman"/>
          <w:lang w:val="es-ES"/>
        </w:rPr>
        <w:t>ara situarse en alrededor de 1.4</w:t>
      </w:r>
      <w:r w:rsidR="00541FE0" w:rsidRPr="008C1C49">
        <w:rPr>
          <w:rFonts w:ascii="Times New Roman" w:hAnsi="Times New Roman" w:cs="Times New Roman"/>
          <w:lang w:val="es-ES"/>
        </w:rPr>
        <w:t xml:space="preserve">00.000 cabezas. </w:t>
      </w:r>
    </w:p>
    <w:p w14:paraId="79F9932F" w14:textId="14D3B8BC" w:rsidR="006C666A" w:rsidRDefault="00541FE0" w:rsidP="008C1C49">
      <w:pPr>
        <w:spacing w:after="0"/>
        <w:ind w:firstLine="720"/>
        <w:jc w:val="both"/>
        <w:rPr>
          <w:rFonts w:ascii="Times New Roman" w:hAnsi="Times New Roman" w:cs="Times New Roman"/>
          <w:lang w:val="es-ES"/>
        </w:rPr>
      </w:pPr>
      <w:r w:rsidRPr="008C1C49">
        <w:rPr>
          <w:rFonts w:ascii="Times New Roman" w:hAnsi="Times New Roman" w:cs="Times New Roman"/>
          <w:lang w:val="es-ES"/>
        </w:rPr>
        <w:t xml:space="preserve">Esta </w:t>
      </w:r>
      <w:r w:rsidR="007D5A07">
        <w:rPr>
          <w:rFonts w:ascii="Times New Roman" w:hAnsi="Times New Roman" w:cs="Times New Roman"/>
          <w:lang w:val="es-ES"/>
        </w:rPr>
        <w:t>expansió</w:t>
      </w:r>
      <w:r w:rsidRPr="008C1C49">
        <w:rPr>
          <w:rFonts w:ascii="Times New Roman" w:hAnsi="Times New Roman" w:cs="Times New Roman"/>
          <w:lang w:val="es-ES"/>
        </w:rPr>
        <w:t>n se produjo principalment</w:t>
      </w:r>
      <w:r w:rsidR="007D5A07">
        <w:rPr>
          <w:rFonts w:ascii="Times New Roman" w:hAnsi="Times New Roman" w:cs="Times New Roman"/>
          <w:lang w:val="es-ES"/>
        </w:rPr>
        <w:t>e</w:t>
      </w:r>
      <w:r w:rsidR="00B11E8F">
        <w:rPr>
          <w:rFonts w:ascii="Times New Roman" w:hAnsi="Times New Roman" w:cs="Times New Roman"/>
          <w:lang w:val="es-ES"/>
        </w:rPr>
        <w:t xml:space="preserve"> en el área del Chaco s</w:t>
      </w:r>
      <w:r w:rsidRPr="008C1C49">
        <w:rPr>
          <w:rFonts w:ascii="Times New Roman" w:hAnsi="Times New Roman" w:cs="Times New Roman"/>
          <w:lang w:val="es-ES"/>
        </w:rPr>
        <w:t>emiárido</w:t>
      </w:r>
      <w:r w:rsidR="007D5A07">
        <w:rPr>
          <w:rFonts w:ascii="Times New Roman" w:hAnsi="Times New Roman" w:cs="Times New Roman"/>
          <w:lang w:val="es-ES"/>
        </w:rPr>
        <w:t xml:space="preserve"> y fue acompañada</w:t>
      </w:r>
      <w:r w:rsidRPr="008C1C49">
        <w:rPr>
          <w:rFonts w:ascii="Times New Roman" w:hAnsi="Times New Roman" w:cs="Times New Roman"/>
          <w:lang w:val="es-ES"/>
        </w:rPr>
        <w:t xml:space="preserve"> de un </w:t>
      </w:r>
      <w:r w:rsidR="007D5A07">
        <w:rPr>
          <w:rFonts w:ascii="Times New Roman" w:hAnsi="Times New Roman" w:cs="Times New Roman"/>
          <w:lang w:val="es-ES"/>
        </w:rPr>
        <w:t>intenso</w:t>
      </w:r>
      <w:r w:rsidRPr="008C1C49">
        <w:rPr>
          <w:rFonts w:ascii="Times New Roman" w:hAnsi="Times New Roman" w:cs="Times New Roman"/>
          <w:lang w:val="es-ES"/>
        </w:rPr>
        <w:t xml:space="preserve"> </w:t>
      </w:r>
      <w:r w:rsidR="007D5A07">
        <w:rPr>
          <w:rFonts w:ascii="Times New Roman" w:hAnsi="Times New Roman" w:cs="Times New Roman"/>
          <w:lang w:val="es-ES"/>
        </w:rPr>
        <w:t xml:space="preserve">desmonte </w:t>
      </w:r>
      <w:r w:rsidRPr="008C1C49">
        <w:rPr>
          <w:rFonts w:ascii="Times New Roman" w:hAnsi="Times New Roman" w:cs="Times New Roman"/>
          <w:lang w:val="es-ES"/>
        </w:rPr>
        <w:t>para la habilitación de tierras</w:t>
      </w:r>
      <w:r w:rsidR="006C666A">
        <w:rPr>
          <w:rFonts w:ascii="Times New Roman" w:hAnsi="Times New Roman" w:cs="Times New Roman"/>
          <w:lang w:val="es-ES"/>
        </w:rPr>
        <w:t>, desbajerado del bosque e implantación de pasturas megatérmicas</w:t>
      </w:r>
      <w:r w:rsidRPr="008C1C49">
        <w:rPr>
          <w:rFonts w:ascii="Times New Roman" w:hAnsi="Times New Roman" w:cs="Times New Roman"/>
          <w:lang w:val="es-ES"/>
        </w:rPr>
        <w:t>.</w:t>
      </w:r>
      <w:r w:rsidR="00AA27D1" w:rsidRPr="008C1C49">
        <w:rPr>
          <w:rFonts w:ascii="Times New Roman" w:hAnsi="Times New Roman" w:cs="Times New Roman"/>
          <w:lang w:val="es-ES"/>
        </w:rPr>
        <w:t xml:space="preserve"> Un ejemplo de este tipo de inversion</w:t>
      </w:r>
      <w:r w:rsidR="007D5A07">
        <w:rPr>
          <w:rFonts w:ascii="Times New Roman" w:hAnsi="Times New Roman" w:cs="Times New Roman"/>
          <w:lang w:val="es-ES"/>
        </w:rPr>
        <w:t>e</w:t>
      </w:r>
      <w:r w:rsidR="00AA27D1" w:rsidRPr="008C1C49">
        <w:rPr>
          <w:rFonts w:ascii="Times New Roman" w:hAnsi="Times New Roman" w:cs="Times New Roman"/>
          <w:lang w:val="es-ES"/>
        </w:rPr>
        <w:t>s son las realizadas por las e</w:t>
      </w:r>
      <w:r w:rsidR="00B11E8F">
        <w:rPr>
          <w:rFonts w:ascii="Times New Roman" w:hAnsi="Times New Roman" w:cs="Times New Roman"/>
          <w:lang w:val="es-ES"/>
        </w:rPr>
        <w:t>mpresas Cresud</w:t>
      </w:r>
      <w:r w:rsidR="00AA27D1" w:rsidRPr="008C1C49">
        <w:rPr>
          <w:rFonts w:ascii="Times New Roman" w:hAnsi="Times New Roman" w:cs="Times New Roman"/>
          <w:lang w:val="es-ES"/>
        </w:rPr>
        <w:t xml:space="preserve"> (filial de IRSA) y Ecodesarrollo S.A. en el Departamento de Anta.</w:t>
      </w:r>
      <w:r w:rsidR="00336655" w:rsidRPr="008C1C49">
        <w:rPr>
          <w:rFonts w:ascii="Times New Roman" w:hAnsi="Times New Roman" w:cs="Times New Roman"/>
          <w:lang w:val="es-ES"/>
        </w:rPr>
        <w:t xml:space="preserve"> </w:t>
      </w:r>
    </w:p>
    <w:p w14:paraId="6383993D" w14:textId="79302616" w:rsidR="00541FE0" w:rsidRPr="008C1C49" w:rsidRDefault="00336655" w:rsidP="008C1C49">
      <w:pPr>
        <w:ind w:firstLine="720"/>
        <w:jc w:val="both"/>
        <w:rPr>
          <w:rFonts w:ascii="Times New Roman" w:hAnsi="Times New Roman" w:cs="Times New Roman"/>
          <w:lang w:val="es-ES"/>
        </w:rPr>
      </w:pPr>
      <w:r w:rsidRPr="008C1C49">
        <w:rPr>
          <w:rFonts w:ascii="Times New Roman" w:hAnsi="Times New Roman" w:cs="Times New Roman"/>
          <w:lang w:val="es-ES"/>
        </w:rPr>
        <w:t>L</w:t>
      </w:r>
      <w:r w:rsidR="00541FE0" w:rsidRPr="008C1C49">
        <w:rPr>
          <w:rFonts w:ascii="Times New Roman" w:hAnsi="Times New Roman" w:cs="Times New Roman"/>
          <w:lang w:val="es-ES"/>
        </w:rPr>
        <w:t xml:space="preserve">a producción de </w:t>
      </w:r>
      <w:r w:rsidR="007A5F04" w:rsidRPr="008C1C49">
        <w:rPr>
          <w:rFonts w:ascii="Times New Roman" w:hAnsi="Times New Roman" w:cs="Times New Roman"/>
          <w:lang w:val="es-ES"/>
        </w:rPr>
        <w:t>g</w:t>
      </w:r>
      <w:r w:rsidR="00541FE0" w:rsidRPr="008C1C49">
        <w:rPr>
          <w:rFonts w:ascii="Times New Roman" w:hAnsi="Times New Roman" w:cs="Times New Roman"/>
          <w:lang w:val="es-ES"/>
        </w:rPr>
        <w:t>anado c</w:t>
      </w:r>
      <w:r w:rsidRPr="008C1C49">
        <w:rPr>
          <w:rFonts w:ascii="Times New Roman" w:hAnsi="Times New Roman" w:cs="Times New Roman"/>
          <w:lang w:val="es-ES"/>
        </w:rPr>
        <w:t xml:space="preserve">onfinado en corral (feed lots) se </w:t>
      </w:r>
      <w:r w:rsidR="00B11E8F" w:rsidRPr="008C1C49">
        <w:rPr>
          <w:rFonts w:ascii="Times New Roman" w:hAnsi="Times New Roman" w:cs="Times New Roman"/>
          <w:lang w:val="es-ES"/>
        </w:rPr>
        <w:t>vio</w:t>
      </w:r>
      <w:r w:rsidRPr="008C1C49">
        <w:rPr>
          <w:rFonts w:ascii="Times New Roman" w:hAnsi="Times New Roman" w:cs="Times New Roman"/>
          <w:lang w:val="es-ES"/>
        </w:rPr>
        <w:t xml:space="preserve"> incrementada, </w:t>
      </w:r>
      <w:r w:rsidR="00541FE0" w:rsidRPr="008C1C49">
        <w:rPr>
          <w:rFonts w:ascii="Times New Roman" w:hAnsi="Times New Roman" w:cs="Times New Roman"/>
          <w:lang w:val="es-ES"/>
        </w:rPr>
        <w:t>de la mano de importantes emprendimie</w:t>
      </w:r>
      <w:r w:rsidR="007A5F04" w:rsidRPr="008C1C49">
        <w:rPr>
          <w:rFonts w:ascii="Times New Roman" w:hAnsi="Times New Roman" w:cs="Times New Roman"/>
          <w:lang w:val="es-ES"/>
        </w:rPr>
        <w:t>ntos ganaderos que figuran entre los más importantes a nivel nacional (</w:t>
      </w:r>
      <w:r w:rsidR="006C666A">
        <w:rPr>
          <w:rFonts w:ascii="Times New Roman" w:hAnsi="Times New Roman" w:cs="Times New Roman"/>
          <w:lang w:val="es-ES"/>
        </w:rPr>
        <w:t xml:space="preserve">Ej.: </w:t>
      </w:r>
      <w:r w:rsidR="007A5F04" w:rsidRPr="008C1C49">
        <w:rPr>
          <w:rFonts w:ascii="Times New Roman" w:hAnsi="Times New Roman" w:cs="Times New Roman"/>
          <w:lang w:val="es-ES"/>
        </w:rPr>
        <w:t>Desdelsur S</w:t>
      </w:r>
      <w:r w:rsidR="008C1C49">
        <w:rPr>
          <w:rFonts w:ascii="Times New Roman" w:hAnsi="Times New Roman" w:cs="Times New Roman"/>
          <w:lang w:val="es-ES"/>
        </w:rPr>
        <w:t>.</w:t>
      </w:r>
      <w:r w:rsidR="007A5F04" w:rsidRPr="008C1C49">
        <w:rPr>
          <w:rFonts w:ascii="Times New Roman" w:hAnsi="Times New Roman" w:cs="Times New Roman"/>
          <w:lang w:val="es-ES"/>
        </w:rPr>
        <w:t>A</w:t>
      </w:r>
      <w:r w:rsidR="008C1C49">
        <w:rPr>
          <w:rFonts w:ascii="Times New Roman" w:hAnsi="Times New Roman" w:cs="Times New Roman"/>
          <w:lang w:val="es-ES"/>
        </w:rPr>
        <w:t>.</w:t>
      </w:r>
      <w:r w:rsidR="007A5F04" w:rsidRPr="008C1C49">
        <w:rPr>
          <w:rFonts w:ascii="Times New Roman" w:hAnsi="Times New Roman" w:cs="Times New Roman"/>
          <w:lang w:val="es-ES"/>
        </w:rPr>
        <w:t xml:space="preserve"> e Inversora Juramento S</w:t>
      </w:r>
      <w:r w:rsidR="008C1C49">
        <w:rPr>
          <w:rFonts w:ascii="Times New Roman" w:hAnsi="Times New Roman" w:cs="Times New Roman"/>
          <w:lang w:val="es-ES"/>
        </w:rPr>
        <w:t>.</w:t>
      </w:r>
      <w:r w:rsidR="007A5F04" w:rsidRPr="008C1C49">
        <w:rPr>
          <w:rFonts w:ascii="Times New Roman" w:hAnsi="Times New Roman" w:cs="Times New Roman"/>
          <w:lang w:val="es-ES"/>
        </w:rPr>
        <w:t>A</w:t>
      </w:r>
      <w:r w:rsidR="008C1C49">
        <w:rPr>
          <w:rFonts w:ascii="Times New Roman" w:hAnsi="Times New Roman" w:cs="Times New Roman"/>
          <w:lang w:val="es-ES"/>
        </w:rPr>
        <w:t>.</w:t>
      </w:r>
      <w:r w:rsidR="007A5F04" w:rsidRPr="008C1C49">
        <w:rPr>
          <w:rFonts w:ascii="Times New Roman" w:hAnsi="Times New Roman" w:cs="Times New Roman"/>
          <w:lang w:val="es-ES"/>
        </w:rPr>
        <w:t>, empresa agropecuaria del Banco Macro)</w:t>
      </w:r>
      <w:r w:rsidR="00541FE0" w:rsidRPr="008C1C49">
        <w:rPr>
          <w:rFonts w:ascii="Times New Roman" w:hAnsi="Times New Roman" w:cs="Times New Roman"/>
          <w:lang w:val="es-ES"/>
        </w:rPr>
        <w:t xml:space="preserve">. A nivel de Valle </w:t>
      </w:r>
      <w:r w:rsidR="00541FE0" w:rsidRPr="008C1C49">
        <w:rPr>
          <w:rFonts w:ascii="Times New Roman" w:hAnsi="Times New Roman" w:cs="Times New Roman"/>
          <w:lang w:val="es-ES"/>
        </w:rPr>
        <w:lastRenderedPageBreak/>
        <w:t xml:space="preserve">de Lerma, este proceso se </w:t>
      </w:r>
      <w:r w:rsidR="00B11E8F">
        <w:rPr>
          <w:rFonts w:ascii="Times New Roman" w:hAnsi="Times New Roman" w:cs="Times New Roman"/>
          <w:lang w:val="es-ES"/>
        </w:rPr>
        <w:t>llevó a cabo</w:t>
      </w:r>
      <w:r w:rsidR="00541FE0" w:rsidRPr="008C1C49">
        <w:rPr>
          <w:rFonts w:ascii="Times New Roman" w:hAnsi="Times New Roman" w:cs="Times New Roman"/>
          <w:lang w:val="es-ES"/>
        </w:rPr>
        <w:t xml:space="preserve"> como mecanismo de diversificación dentro de los sistemas tabacaleros y </w:t>
      </w:r>
      <w:r w:rsidR="006C666A">
        <w:rPr>
          <w:rFonts w:ascii="Times New Roman" w:hAnsi="Times New Roman" w:cs="Times New Roman"/>
          <w:lang w:val="es-ES"/>
        </w:rPr>
        <w:t xml:space="preserve">fue </w:t>
      </w:r>
      <w:r w:rsidR="00541FE0" w:rsidRPr="008C1C49">
        <w:rPr>
          <w:rFonts w:ascii="Times New Roman" w:hAnsi="Times New Roman" w:cs="Times New Roman"/>
          <w:lang w:val="es-ES"/>
        </w:rPr>
        <w:t>movilizado por productores locales.</w:t>
      </w:r>
    </w:p>
    <w:p w14:paraId="3D47DD5B" w14:textId="6215A2CF" w:rsidR="0019659F" w:rsidRPr="008C1C49" w:rsidRDefault="008C1C49" w:rsidP="006C666A">
      <w:pPr>
        <w:spacing w:after="120"/>
        <w:jc w:val="both"/>
        <w:rPr>
          <w:rFonts w:ascii="Times New Roman" w:hAnsi="Times New Roman" w:cs="Times New Roman"/>
          <w:b/>
        </w:rPr>
      </w:pPr>
      <w:r>
        <w:rPr>
          <w:rFonts w:ascii="Times New Roman" w:hAnsi="Times New Roman" w:cs="Times New Roman"/>
          <w:b/>
        </w:rPr>
        <w:t>Proceso N°6:</w:t>
      </w:r>
    </w:p>
    <w:p w14:paraId="7BEC2B6D" w14:textId="24178A09" w:rsidR="00861CDE" w:rsidRPr="008C1C49" w:rsidRDefault="00861CDE" w:rsidP="008C1C49">
      <w:pPr>
        <w:spacing w:after="0"/>
        <w:ind w:firstLine="720"/>
        <w:jc w:val="both"/>
        <w:rPr>
          <w:rFonts w:ascii="Times New Roman" w:hAnsi="Times New Roman" w:cs="Times New Roman"/>
          <w:lang w:val="es-ES"/>
        </w:rPr>
      </w:pPr>
      <w:r w:rsidRPr="008C1C49">
        <w:rPr>
          <w:rFonts w:ascii="Times New Roman" w:hAnsi="Times New Roman" w:cs="Times New Roman"/>
          <w:lang w:val="es-ES"/>
        </w:rPr>
        <w:t>Con r</w:t>
      </w:r>
      <w:r w:rsidR="00AB10AD" w:rsidRPr="008C1C49">
        <w:rPr>
          <w:rFonts w:ascii="Times New Roman" w:hAnsi="Times New Roman" w:cs="Times New Roman"/>
          <w:lang w:val="es-ES"/>
        </w:rPr>
        <w:t>e</w:t>
      </w:r>
      <w:r w:rsidRPr="008C1C49">
        <w:rPr>
          <w:rFonts w:ascii="Times New Roman" w:hAnsi="Times New Roman" w:cs="Times New Roman"/>
          <w:lang w:val="es-ES"/>
        </w:rPr>
        <w:t xml:space="preserve">specto a la Agricultura Familiar, el CAN 2018 resulta confuso y no alcanza a </w:t>
      </w:r>
      <w:r w:rsidR="00AB10AD" w:rsidRPr="008C1C49">
        <w:rPr>
          <w:rFonts w:ascii="Times New Roman" w:hAnsi="Times New Roman" w:cs="Times New Roman"/>
          <w:lang w:val="es-ES"/>
        </w:rPr>
        <w:t>revela</w:t>
      </w:r>
      <w:r w:rsidRPr="008C1C49">
        <w:rPr>
          <w:rFonts w:ascii="Times New Roman" w:hAnsi="Times New Roman" w:cs="Times New Roman"/>
          <w:lang w:val="es-ES"/>
        </w:rPr>
        <w:t>r la situaci</w:t>
      </w:r>
      <w:r w:rsidR="006C666A">
        <w:rPr>
          <w:rFonts w:ascii="Times New Roman" w:hAnsi="Times New Roman" w:cs="Times New Roman"/>
          <w:lang w:val="es-ES"/>
        </w:rPr>
        <w:t xml:space="preserve">ón que se produjo a nivel de </w:t>
      </w:r>
      <w:r w:rsidRPr="008C1C49">
        <w:rPr>
          <w:rFonts w:ascii="Times New Roman" w:hAnsi="Times New Roman" w:cs="Times New Roman"/>
          <w:lang w:val="es-ES"/>
        </w:rPr>
        <w:t>esta tipología de productores.</w:t>
      </w:r>
      <w:r w:rsidR="00AB10AD" w:rsidRPr="008C1C49">
        <w:rPr>
          <w:rFonts w:ascii="Times New Roman" w:hAnsi="Times New Roman" w:cs="Times New Roman"/>
          <w:lang w:val="es-ES"/>
        </w:rPr>
        <w:t xml:space="preserve"> Por un lado, se evidencia una situación de sub</w:t>
      </w:r>
      <w:r w:rsidR="00B11E8F">
        <w:rPr>
          <w:rFonts w:ascii="Times New Roman" w:hAnsi="Times New Roman" w:cs="Times New Roman"/>
          <w:lang w:val="es-ES"/>
        </w:rPr>
        <w:t>-</w:t>
      </w:r>
      <w:r w:rsidR="00AB10AD" w:rsidRPr="008C1C49">
        <w:rPr>
          <w:rFonts w:ascii="Times New Roman" w:hAnsi="Times New Roman" w:cs="Times New Roman"/>
          <w:lang w:val="es-ES"/>
        </w:rPr>
        <w:t xml:space="preserve">registro de los datos </w:t>
      </w:r>
      <w:r w:rsidR="006C666A">
        <w:rPr>
          <w:rFonts w:ascii="Times New Roman" w:hAnsi="Times New Roman" w:cs="Times New Roman"/>
          <w:lang w:val="es-ES"/>
        </w:rPr>
        <w:t xml:space="preserve">correspondientes a la </w:t>
      </w:r>
      <w:r w:rsidR="00AB10AD" w:rsidRPr="008C1C49">
        <w:rPr>
          <w:rFonts w:ascii="Times New Roman" w:hAnsi="Times New Roman" w:cs="Times New Roman"/>
          <w:lang w:val="es-ES"/>
        </w:rPr>
        <w:t>ganadería menor (ovinos y caprinos)</w:t>
      </w:r>
      <w:r w:rsidR="006C666A">
        <w:rPr>
          <w:rFonts w:ascii="Times New Roman" w:hAnsi="Times New Roman" w:cs="Times New Roman"/>
          <w:lang w:val="es-ES"/>
        </w:rPr>
        <w:t>,</w:t>
      </w:r>
      <w:r w:rsidR="00AB10AD" w:rsidRPr="008C1C49">
        <w:rPr>
          <w:rFonts w:ascii="Times New Roman" w:hAnsi="Times New Roman" w:cs="Times New Roman"/>
          <w:lang w:val="es-ES"/>
        </w:rPr>
        <w:t xml:space="preserve"> típicamente propias de la Agricultuta Familiar, existiendo diferencias entre los valores </w:t>
      </w:r>
      <w:r w:rsidR="006C666A">
        <w:rPr>
          <w:rFonts w:ascii="Times New Roman" w:hAnsi="Times New Roman" w:cs="Times New Roman"/>
          <w:lang w:val="es-ES"/>
        </w:rPr>
        <w:t xml:space="preserve">consignados por el </w:t>
      </w:r>
      <w:r w:rsidR="00AB10AD" w:rsidRPr="008C1C49">
        <w:rPr>
          <w:rFonts w:ascii="Times New Roman" w:hAnsi="Times New Roman" w:cs="Times New Roman"/>
          <w:lang w:val="es-ES"/>
        </w:rPr>
        <w:t>CAN 2028 y los aportados por SENASA que rondan entre un 60% y un 200%.</w:t>
      </w:r>
    </w:p>
    <w:p w14:paraId="64428ED7" w14:textId="3CCA6F5E" w:rsidR="00AB10AD" w:rsidRPr="008C1C49" w:rsidRDefault="006C666A" w:rsidP="008C1C49">
      <w:pPr>
        <w:spacing w:after="0"/>
        <w:ind w:firstLine="720"/>
        <w:jc w:val="both"/>
        <w:rPr>
          <w:rFonts w:ascii="Times New Roman" w:hAnsi="Times New Roman" w:cs="Times New Roman"/>
          <w:lang w:val="es-ES"/>
        </w:rPr>
      </w:pPr>
      <w:r>
        <w:rPr>
          <w:rFonts w:ascii="Times New Roman" w:hAnsi="Times New Roman" w:cs="Times New Roman"/>
          <w:lang w:val="es-ES"/>
        </w:rPr>
        <w:t xml:space="preserve">Otra situación de </w:t>
      </w:r>
      <w:r w:rsidR="00AB10AD" w:rsidRPr="008C1C49">
        <w:rPr>
          <w:rFonts w:ascii="Times New Roman" w:hAnsi="Times New Roman" w:cs="Times New Roman"/>
          <w:lang w:val="es-ES"/>
        </w:rPr>
        <w:t>sub</w:t>
      </w:r>
      <w:r w:rsidR="00B11E8F">
        <w:rPr>
          <w:rFonts w:ascii="Times New Roman" w:hAnsi="Times New Roman" w:cs="Times New Roman"/>
          <w:lang w:val="es-ES"/>
        </w:rPr>
        <w:t>-</w:t>
      </w:r>
      <w:r w:rsidR="00AB10AD" w:rsidRPr="008C1C49">
        <w:rPr>
          <w:rFonts w:ascii="Times New Roman" w:hAnsi="Times New Roman" w:cs="Times New Roman"/>
          <w:lang w:val="es-ES"/>
        </w:rPr>
        <w:t>registro</w:t>
      </w:r>
      <w:r>
        <w:rPr>
          <w:rFonts w:ascii="Times New Roman" w:hAnsi="Times New Roman" w:cs="Times New Roman"/>
          <w:lang w:val="es-ES"/>
        </w:rPr>
        <w:t xml:space="preserve"> de información por parte del CNA 2018</w:t>
      </w:r>
      <w:r w:rsidR="00AB10AD" w:rsidRPr="008C1C49">
        <w:rPr>
          <w:rFonts w:ascii="Times New Roman" w:hAnsi="Times New Roman" w:cs="Times New Roman"/>
          <w:lang w:val="es-ES"/>
        </w:rPr>
        <w:t>, es el hecho que</w:t>
      </w:r>
      <w:r w:rsidR="00E32357">
        <w:rPr>
          <w:rFonts w:ascii="Times New Roman" w:hAnsi="Times New Roman" w:cs="Times New Roman"/>
          <w:lang w:val="es-ES"/>
        </w:rPr>
        <w:t>,</w:t>
      </w:r>
      <w:r w:rsidR="00AB10AD" w:rsidRPr="008C1C49">
        <w:rPr>
          <w:rFonts w:ascii="Times New Roman" w:hAnsi="Times New Roman" w:cs="Times New Roman"/>
          <w:lang w:val="es-ES"/>
        </w:rPr>
        <w:t xml:space="preserve"> </w:t>
      </w:r>
      <w:r>
        <w:rPr>
          <w:rFonts w:ascii="Times New Roman" w:hAnsi="Times New Roman" w:cs="Times New Roman"/>
          <w:lang w:val="es-ES"/>
        </w:rPr>
        <w:t xml:space="preserve">si tomamos en cuenta </w:t>
      </w:r>
      <w:r w:rsidR="00AB10AD" w:rsidRPr="008C1C49">
        <w:rPr>
          <w:rFonts w:ascii="Times New Roman" w:hAnsi="Times New Roman" w:cs="Times New Roman"/>
          <w:lang w:val="es-ES"/>
        </w:rPr>
        <w:t>la información vertida por informantes calificados</w:t>
      </w:r>
      <w:r>
        <w:rPr>
          <w:rFonts w:ascii="Times New Roman" w:hAnsi="Times New Roman" w:cs="Times New Roman"/>
          <w:lang w:val="es-ES"/>
        </w:rPr>
        <w:t xml:space="preserve">, no se constata una </w:t>
      </w:r>
      <w:r w:rsidR="00B11E8F">
        <w:rPr>
          <w:rFonts w:ascii="Times New Roman" w:hAnsi="Times New Roman" w:cs="Times New Roman"/>
          <w:lang w:val="es-ES"/>
        </w:rPr>
        <w:t>disminución de las EAPs sin límites definidos</w:t>
      </w:r>
      <w:r w:rsidR="00AB10AD" w:rsidRPr="008C1C49">
        <w:rPr>
          <w:rFonts w:ascii="Times New Roman" w:hAnsi="Times New Roman" w:cs="Times New Roman"/>
          <w:lang w:val="es-ES"/>
        </w:rPr>
        <w:t xml:space="preserve"> (-15%), la reducción </w:t>
      </w:r>
      <w:r w:rsidR="00E32357">
        <w:rPr>
          <w:rFonts w:ascii="Times New Roman" w:hAnsi="Times New Roman" w:cs="Times New Roman"/>
          <w:lang w:val="es-ES"/>
        </w:rPr>
        <w:t xml:space="preserve">de las EAPs que se encuentran como </w:t>
      </w:r>
      <w:r w:rsidR="00AB10AD" w:rsidRPr="008C1C49">
        <w:rPr>
          <w:rFonts w:ascii="Times New Roman" w:hAnsi="Times New Roman" w:cs="Times New Roman"/>
          <w:lang w:val="es-ES"/>
        </w:rPr>
        <w:t>sucesi</w:t>
      </w:r>
      <w:r w:rsidR="00E32357">
        <w:rPr>
          <w:rFonts w:ascii="Times New Roman" w:hAnsi="Times New Roman" w:cs="Times New Roman"/>
          <w:lang w:val="es-ES"/>
        </w:rPr>
        <w:t xml:space="preserve">ones </w:t>
      </w:r>
      <w:r w:rsidR="00AB10AD" w:rsidRPr="008C1C49">
        <w:rPr>
          <w:rFonts w:ascii="Times New Roman" w:hAnsi="Times New Roman" w:cs="Times New Roman"/>
          <w:lang w:val="es-ES"/>
        </w:rPr>
        <w:t>indivisa</w:t>
      </w:r>
      <w:r w:rsidR="00E32357">
        <w:rPr>
          <w:rFonts w:ascii="Times New Roman" w:hAnsi="Times New Roman" w:cs="Times New Roman"/>
          <w:lang w:val="es-ES"/>
        </w:rPr>
        <w:t>s</w:t>
      </w:r>
      <w:r w:rsidR="00AB10AD" w:rsidRPr="008C1C49">
        <w:rPr>
          <w:rFonts w:ascii="Times New Roman" w:hAnsi="Times New Roman" w:cs="Times New Roman"/>
          <w:lang w:val="es-ES"/>
        </w:rPr>
        <w:t xml:space="preserve"> (77%)</w:t>
      </w:r>
      <w:r w:rsidR="00B11E8F">
        <w:rPr>
          <w:rFonts w:ascii="Times New Roman" w:hAnsi="Times New Roman" w:cs="Times New Roman"/>
          <w:lang w:val="es-ES"/>
        </w:rPr>
        <w:t>, ni las que se encuentran</w:t>
      </w:r>
      <w:r w:rsidR="00AB10AD" w:rsidRPr="008C1C49">
        <w:rPr>
          <w:rFonts w:ascii="Times New Roman" w:hAnsi="Times New Roman" w:cs="Times New Roman"/>
          <w:lang w:val="es-ES"/>
        </w:rPr>
        <w:t xml:space="preserve"> como ocupaciones sin permiso (-70%).</w:t>
      </w:r>
    </w:p>
    <w:p w14:paraId="47CF003B" w14:textId="48DE36D1" w:rsidR="00AB10AD" w:rsidRPr="008C1C49" w:rsidRDefault="00AB10AD" w:rsidP="008C1C49">
      <w:pPr>
        <w:ind w:firstLine="720"/>
        <w:jc w:val="both"/>
        <w:rPr>
          <w:rFonts w:ascii="Times New Roman" w:hAnsi="Times New Roman" w:cs="Times New Roman"/>
          <w:lang w:val="es-ES"/>
        </w:rPr>
      </w:pPr>
      <w:r w:rsidRPr="008C1C49">
        <w:rPr>
          <w:rFonts w:ascii="Times New Roman" w:hAnsi="Times New Roman" w:cs="Times New Roman"/>
          <w:lang w:val="es-ES"/>
        </w:rPr>
        <w:t xml:space="preserve">Por </w:t>
      </w:r>
      <w:r w:rsidR="00E32357">
        <w:rPr>
          <w:rFonts w:ascii="Times New Roman" w:hAnsi="Times New Roman" w:cs="Times New Roman"/>
          <w:lang w:val="es-ES"/>
        </w:rPr>
        <w:t>ú</w:t>
      </w:r>
      <w:r w:rsidRPr="008C1C49">
        <w:rPr>
          <w:rFonts w:ascii="Times New Roman" w:hAnsi="Times New Roman" w:cs="Times New Roman"/>
          <w:lang w:val="es-ES"/>
        </w:rPr>
        <w:t xml:space="preserve">ltimo, cabe mencionar que el llamativo crecimiento </w:t>
      </w:r>
      <w:r w:rsidR="008C1C49" w:rsidRPr="008C1C49">
        <w:rPr>
          <w:rFonts w:ascii="Times New Roman" w:hAnsi="Times New Roman" w:cs="Times New Roman"/>
          <w:lang w:val="es-ES"/>
        </w:rPr>
        <w:t xml:space="preserve">en el rubro </w:t>
      </w:r>
      <w:r w:rsidRPr="008C1C49">
        <w:rPr>
          <w:rFonts w:ascii="Times New Roman" w:hAnsi="Times New Roman" w:cs="Times New Roman"/>
          <w:lang w:val="es-ES"/>
        </w:rPr>
        <w:t>caracterizado como “Otros”</w:t>
      </w:r>
      <w:r w:rsidR="008C1C49" w:rsidRPr="008C1C49">
        <w:rPr>
          <w:rFonts w:ascii="Times New Roman" w:hAnsi="Times New Roman" w:cs="Times New Roman"/>
          <w:lang w:val="es-ES"/>
        </w:rPr>
        <w:t xml:space="preserve"> en la forma de tenencia</w:t>
      </w:r>
      <w:r w:rsidR="00E32357">
        <w:rPr>
          <w:rFonts w:ascii="Times New Roman" w:hAnsi="Times New Roman" w:cs="Times New Roman"/>
          <w:lang w:val="es-ES"/>
        </w:rPr>
        <w:t xml:space="preserve">, </w:t>
      </w:r>
      <w:r w:rsidR="008C1C49" w:rsidRPr="008C1C49">
        <w:rPr>
          <w:rFonts w:ascii="Times New Roman" w:hAnsi="Times New Roman" w:cs="Times New Roman"/>
          <w:lang w:val="es-ES"/>
        </w:rPr>
        <w:t xml:space="preserve">el cual </w:t>
      </w:r>
      <w:r w:rsidRPr="008C1C49">
        <w:rPr>
          <w:rFonts w:ascii="Times New Roman" w:hAnsi="Times New Roman" w:cs="Times New Roman"/>
          <w:lang w:val="es-ES"/>
        </w:rPr>
        <w:t>se incrementó notablemente (634%)</w:t>
      </w:r>
      <w:r w:rsidR="008C1C49" w:rsidRPr="008C1C49">
        <w:rPr>
          <w:rFonts w:ascii="Times New Roman" w:hAnsi="Times New Roman" w:cs="Times New Roman"/>
          <w:lang w:val="es-ES"/>
        </w:rPr>
        <w:t xml:space="preserve">, </w:t>
      </w:r>
      <w:r w:rsidR="00E32357">
        <w:rPr>
          <w:rFonts w:ascii="Times New Roman" w:hAnsi="Times New Roman" w:cs="Times New Roman"/>
          <w:lang w:val="es-ES"/>
        </w:rPr>
        <w:t>se puede explicar de</w:t>
      </w:r>
      <w:r w:rsidR="000E259E">
        <w:rPr>
          <w:rFonts w:ascii="Times New Roman" w:hAnsi="Times New Roman" w:cs="Times New Roman"/>
          <w:lang w:val="es-ES"/>
        </w:rPr>
        <w:t>bido a que el mismo incluye a</w:t>
      </w:r>
      <w:r w:rsidR="00E32357">
        <w:rPr>
          <w:rFonts w:ascii="Times New Roman" w:hAnsi="Times New Roman" w:cs="Times New Roman"/>
          <w:lang w:val="es-ES"/>
        </w:rPr>
        <w:t xml:space="preserve"> territorios indígenas, los cuales fueron registrados </w:t>
      </w:r>
      <w:r w:rsidR="000E259E">
        <w:rPr>
          <w:rFonts w:ascii="Times New Roman" w:hAnsi="Times New Roman" w:cs="Times New Roman"/>
          <w:lang w:val="es-ES"/>
        </w:rPr>
        <w:t xml:space="preserve">en gran número </w:t>
      </w:r>
      <w:r w:rsidR="00E32357">
        <w:rPr>
          <w:rFonts w:ascii="Times New Roman" w:hAnsi="Times New Roman" w:cs="Times New Roman"/>
          <w:lang w:val="es-ES"/>
        </w:rPr>
        <w:t>como tales</w:t>
      </w:r>
      <w:r w:rsidR="000E259E">
        <w:rPr>
          <w:rFonts w:ascii="Times New Roman" w:hAnsi="Times New Roman" w:cs="Times New Roman"/>
          <w:lang w:val="es-ES"/>
        </w:rPr>
        <w:t>,</w:t>
      </w:r>
      <w:r w:rsidR="00E32357">
        <w:rPr>
          <w:rFonts w:ascii="Times New Roman" w:hAnsi="Times New Roman" w:cs="Times New Roman"/>
          <w:lang w:val="es-ES"/>
        </w:rPr>
        <w:t xml:space="preserve"> durante el </w:t>
      </w:r>
      <w:r w:rsidR="008C1C49" w:rsidRPr="008C1C49">
        <w:rPr>
          <w:rFonts w:ascii="Times New Roman" w:hAnsi="Times New Roman" w:cs="Times New Roman"/>
          <w:lang w:val="es-ES"/>
        </w:rPr>
        <w:t>período intercensal</w:t>
      </w:r>
      <w:r w:rsidRPr="008C1C49">
        <w:rPr>
          <w:rFonts w:ascii="Times New Roman" w:hAnsi="Times New Roman" w:cs="Times New Roman"/>
          <w:lang w:val="es-ES"/>
        </w:rPr>
        <w:t>.</w:t>
      </w:r>
    </w:p>
    <w:p w14:paraId="338B1BC2" w14:textId="07266BE9" w:rsidR="00D17710" w:rsidRPr="00331929" w:rsidRDefault="00857F4F" w:rsidP="000E259E">
      <w:pPr>
        <w:spacing w:after="120"/>
        <w:jc w:val="both"/>
        <w:rPr>
          <w:rFonts w:ascii="Times New Roman" w:hAnsi="Times New Roman" w:cs="Times New Roman"/>
          <w:b/>
          <w:lang w:val="es-ES"/>
        </w:rPr>
      </w:pPr>
      <w:r w:rsidRPr="00331929">
        <w:rPr>
          <w:rFonts w:ascii="Times New Roman" w:hAnsi="Times New Roman" w:cs="Times New Roman"/>
          <w:b/>
          <w:lang w:val="es-ES"/>
        </w:rPr>
        <w:t>Bibliografía</w:t>
      </w:r>
    </w:p>
    <w:p w14:paraId="7AB49DDE" w14:textId="77777777" w:rsidR="008C703D" w:rsidRPr="00331929" w:rsidRDefault="008C703D" w:rsidP="000E259E">
      <w:pPr>
        <w:pStyle w:val="Prrafodelista"/>
        <w:numPr>
          <w:ilvl w:val="0"/>
          <w:numId w:val="6"/>
        </w:numPr>
        <w:spacing w:after="0"/>
        <w:jc w:val="both"/>
        <w:rPr>
          <w:rFonts w:ascii="Times New Roman" w:hAnsi="Times New Roman" w:cs="Times New Roman"/>
        </w:rPr>
      </w:pPr>
      <w:r w:rsidRPr="00331929">
        <w:rPr>
          <w:rFonts w:ascii="Times New Roman" w:hAnsi="Times New Roman" w:cs="Times New Roman"/>
        </w:rPr>
        <w:t xml:space="preserve">Camardelli, </w:t>
      </w:r>
      <w:r w:rsidR="00F95714" w:rsidRPr="00331929">
        <w:rPr>
          <w:rFonts w:ascii="Times New Roman" w:hAnsi="Times New Roman" w:cs="Times New Roman"/>
        </w:rPr>
        <w:t>C.; Perez de Bianchi, S; Miranda, S; Salazar, N; (2019)</w:t>
      </w:r>
      <w:r w:rsidR="00AC6FDC" w:rsidRPr="00331929">
        <w:rPr>
          <w:rFonts w:ascii="Times New Roman" w:hAnsi="Times New Roman" w:cs="Times New Roman"/>
        </w:rPr>
        <w:t>.</w:t>
      </w:r>
      <w:r w:rsidR="00F95714" w:rsidRPr="00331929">
        <w:rPr>
          <w:rFonts w:ascii="Times New Roman" w:hAnsi="Times New Roman" w:cs="Times New Roman"/>
        </w:rPr>
        <w:t xml:space="preserve"> </w:t>
      </w:r>
      <w:r w:rsidR="00AC6FDC" w:rsidRPr="00331929">
        <w:rPr>
          <w:rFonts w:ascii="Times New Roman" w:hAnsi="Times New Roman" w:cs="Times New Roman"/>
        </w:rPr>
        <w:t>“</w:t>
      </w:r>
      <w:r w:rsidR="00F95714" w:rsidRPr="00331929">
        <w:rPr>
          <w:rFonts w:ascii="Times New Roman" w:hAnsi="Times New Roman" w:cs="Times New Roman"/>
        </w:rPr>
        <w:t>Cambios en el uso del Suelo al norte del Rio Bermejo en la provincia de Salta: A 10 años de la sanción de la Ley 26331 de Protección de Bosques Nativos</w:t>
      </w:r>
      <w:r w:rsidR="00636975" w:rsidRPr="00331929">
        <w:rPr>
          <w:rFonts w:ascii="Times New Roman" w:hAnsi="Times New Roman" w:cs="Times New Roman"/>
        </w:rPr>
        <w:t>”</w:t>
      </w:r>
      <w:r w:rsidR="00AC6FDC" w:rsidRPr="00331929">
        <w:rPr>
          <w:rFonts w:ascii="Times New Roman" w:hAnsi="Times New Roman" w:cs="Times New Roman"/>
        </w:rPr>
        <w:t>. E</w:t>
      </w:r>
      <w:r w:rsidR="00F95714" w:rsidRPr="00331929">
        <w:rPr>
          <w:rFonts w:ascii="Times New Roman" w:hAnsi="Times New Roman" w:cs="Times New Roman"/>
        </w:rPr>
        <w:t>n Rodriguez Faraldo M</w:t>
      </w:r>
      <w:r w:rsidR="00636975" w:rsidRPr="00331929">
        <w:rPr>
          <w:rFonts w:ascii="Times New Roman" w:hAnsi="Times New Roman" w:cs="Times New Roman"/>
        </w:rPr>
        <w:t>.</w:t>
      </w:r>
      <w:r w:rsidR="00F95714" w:rsidRPr="00331929">
        <w:rPr>
          <w:rFonts w:ascii="Times New Roman" w:hAnsi="Times New Roman" w:cs="Times New Roman"/>
        </w:rPr>
        <w:t xml:space="preserve"> y Ataide S</w:t>
      </w:r>
      <w:r w:rsidR="00636975" w:rsidRPr="00331929">
        <w:rPr>
          <w:rFonts w:ascii="Times New Roman" w:hAnsi="Times New Roman" w:cs="Times New Roman"/>
        </w:rPr>
        <w:t>.</w:t>
      </w:r>
      <w:r w:rsidR="00F95714" w:rsidRPr="00331929">
        <w:rPr>
          <w:rFonts w:ascii="Times New Roman" w:hAnsi="Times New Roman" w:cs="Times New Roman"/>
        </w:rPr>
        <w:t xml:space="preserve"> </w:t>
      </w:r>
      <w:r w:rsidR="00636975" w:rsidRPr="00331929">
        <w:rPr>
          <w:rFonts w:ascii="Times New Roman" w:hAnsi="Times New Roman" w:cs="Times New Roman"/>
        </w:rPr>
        <w:t>(</w:t>
      </w:r>
      <w:r w:rsidR="00F95714" w:rsidRPr="00331929">
        <w:rPr>
          <w:rFonts w:ascii="Times New Roman" w:hAnsi="Times New Roman" w:cs="Times New Roman"/>
        </w:rPr>
        <w:t>Comp.</w:t>
      </w:r>
      <w:r w:rsidR="00636975" w:rsidRPr="00331929">
        <w:rPr>
          <w:rFonts w:ascii="Times New Roman" w:hAnsi="Times New Roman" w:cs="Times New Roman"/>
        </w:rPr>
        <w:t>)</w:t>
      </w:r>
      <w:r w:rsidR="00F95714" w:rsidRPr="00331929">
        <w:rPr>
          <w:rFonts w:ascii="Times New Roman" w:hAnsi="Times New Roman" w:cs="Times New Roman"/>
        </w:rPr>
        <w:t xml:space="preserve"> </w:t>
      </w:r>
      <w:r w:rsidR="00F95714" w:rsidRPr="00331929">
        <w:rPr>
          <w:rFonts w:ascii="Times New Roman" w:hAnsi="Times New Roman" w:cs="Times New Roman"/>
          <w:i/>
        </w:rPr>
        <w:t>Repensando el Desarrollo Rural en los Territorios del Norte Argentino</w:t>
      </w:r>
      <w:r w:rsidR="00F95714" w:rsidRPr="00331929">
        <w:rPr>
          <w:rFonts w:ascii="Times New Roman" w:hAnsi="Times New Roman" w:cs="Times New Roman"/>
        </w:rPr>
        <w:t>,</w:t>
      </w:r>
      <w:r w:rsidR="00636975" w:rsidRPr="00331929">
        <w:rPr>
          <w:rFonts w:ascii="Times New Roman" w:hAnsi="Times New Roman" w:cs="Times New Roman"/>
        </w:rPr>
        <w:t xml:space="preserve"> (Pp.163-192)</w:t>
      </w:r>
      <w:r w:rsidR="00F95714" w:rsidRPr="00331929">
        <w:rPr>
          <w:rFonts w:ascii="Times New Roman" w:hAnsi="Times New Roman" w:cs="Times New Roman"/>
        </w:rPr>
        <w:t xml:space="preserve"> IDR, FCN, UNSa.</w:t>
      </w:r>
    </w:p>
    <w:p w14:paraId="7E1936EB" w14:textId="77777777" w:rsidR="00A01E26" w:rsidRPr="00331929" w:rsidRDefault="00A01E26" w:rsidP="000E259E">
      <w:pPr>
        <w:pStyle w:val="Prrafodelista"/>
        <w:numPr>
          <w:ilvl w:val="0"/>
          <w:numId w:val="6"/>
        </w:numPr>
        <w:spacing w:after="0"/>
        <w:jc w:val="both"/>
        <w:rPr>
          <w:rFonts w:ascii="Times New Roman" w:hAnsi="Times New Roman" w:cs="Times New Roman"/>
          <w:lang w:val="es-AR"/>
        </w:rPr>
      </w:pPr>
      <w:r w:rsidRPr="00331929">
        <w:rPr>
          <w:rFonts w:ascii="Times New Roman" w:hAnsi="Times New Roman" w:cs="Times New Roman"/>
          <w:lang w:val="es-AR"/>
        </w:rPr>
        <w:t xml:space="preserve">Colina, S.; Barbera M.; Pais A.; Yudi, J. (2012) </w:t>
      </w:r>
      <w:r w:rsidRPr="00331929">
        <w:rPr>
          <w:rFonts w:ascii="Times New Roman" w:hAnsi="Times New Roman" w:cs="Times New Roman"/>
          <w:i/>
          <w:lang w:val="es-AR"/>
        </w:rPr>
        <w:t>Análisis de los impactos de la Expansión de la frontera agraria en la región del Chaco Salteño (Noroeste Argentino)</w:t>
      </w:r>
      <w:r w:rsidRPr="00331929">
        <w:rPr>
          <w:rFonts w:ascii="Times New Roman" w:hAnsi="Times New Roman" w:cs="Times New Roman"/>
          <w:lang w:val="es-AR"/>
        </w:rPr>
        <w:t>. Realidad Económica N° 270.IADE, Buenos Aires, 105-130</w:t>
      </w:r>
    </w:p>
    <w:p w14:paraId="285CDD84" w14:textId="77777777" w:rsidR="003E411A" w:rsidRPr="00331929" w:rsidRDefault="0071137A" w:rsidP="000E259E">
      <w:pPr>
        <w:pStyle w:val="Prrafodelista"/>
        <w:numPr>
          <w:ilvl w:val="0"/>
          <w:numId w:val="6"/>
        </w:numPr>
        <w:spacing w:after="0"/>
        <w:jc w:val="both"/>
        <w:rPr>
          <w:rFonts w:ascii="Times New Roman" w:hAnsi="Times New Roman" w:cs="Times New Roman"/>
          <w:lang w:val="es-AR"/>
        </w:rPr>
      </w:pPr>
      <w:r w:rsidRPr="00331929">
        <w:rPr>
          <w:rFonts w:ascii="Times New Roman" w:hAnsi="Times New Roman" w:cs="Times New Roman"/>
          <w:lang w:val="es-AR"/>
        </w:rPr>
        <w:t xml:space="preserve">INDEC (2020). </w:t>
      </w:r>
      <w:r w:rsidRPr="00331929">
        <w:rPr>
          <w:rFonts w:ascii="Times New Roman" w:hAnsi="Times New Roman" w:cs="Times New Roman"/>
          <w:i/>
          <w:lang w:val="es-AR"/>
        </w:rPr>
        <w:t>Censo Nacional Agropecuario 2018. Resultados preliminares: Agricultura</w:t>
      </w:r>
      <w:r w:rsidRPr="00331929">
        <w:rPr>
          <w:rFonts w:ascii="Times New Roman" w:hAnsi="Times New Roman" w:cs="Times New Roman"/>
          <w:lang w:val="es-AR"/>
        </w:rPr>
        <w:t>. Buenos Aires: INDEC.</w:t>
      </w:r>
    </w:p>
    <w:p w14:paraId="0DAAEC72" w14:textId="77777777" w:rsidR="00D17710" w:rsidRPr="00331929" w:rsidRDefault="0071137A" w:rsidP="000E259E">
      <w:pPr>
        <w:pStyle w:val="Prrafodelista"/>
        <w:numPr>
          <w:ilvl w:val="0"/>
          <w:numId w:val="6"/>
        </w:numPr>
        <w:spacing w:after="0"/>
        <w:jc w:val="both"/>
        <w:rPr>
          <w:rFonts w:ascii="Times New Roman" w:hAnsi="Times New Roman" w:cs="Times New Roman"/>
          <w:lang w:val="es-AR"/>
        </w:rPr>
      </w:pPr>
      <w:r w:rsidRPr="00331929">
        <w:rPr>
          <w:rFonts w:ascii="Times New Roman" w:hAnsi="Times New Roman" w:cs="Times New Roman"/>
          <w:lang w:val="es-AR"/>
        </w:rPr>
        <w:t>Dirección General de Estadísticas.</w:t>
      </w:r>
      <w:r w:rsidR="00B27807" w:rsidRPr="00331929">
        <w:rPr>
          <w:rFonts w:ascii="Times New Roman" w:hAnsi="Times New Roman" w:cs="Times New Roman"/>
          <w:lang w:val="es-AR"/>
        </w:rPr>
        <w:t xml:space="preserve"> </w:t>
      </w:r>
      <w:r w:rsidR="00AC6FDC" w:rsidRPr="00331929">
        <w:rPr>
          <w:rFonts w:ascii="Times New Roman" w:hAnsi="Times New Roman" w:cs="Times New Roman"/>
          <w:i/>
          <w:lang w:val="es-AR"/>
        </w:rPr>
        <w:t>Anuario Estadístico-</w:t>
      </w:r>
      <w:r w:rsidR="00BB6B79" w:rsidRPr="00331929">
        <w:rPr>
          <w:rFonts w:ascii="Times New Roman" w:hAnsi="Times New Roman" w:cs="Times New Roman"/>
          <w:i/>
          <w:lang w:val="es-AR"/>
        </w:rPr>
        <w:t>Provincia de Salta. Año 2018– Avance 2019</w:t>
      </w:r>
      <w:r w:rsidR="00AC6FDC" w:rsidRPr="00331929">
        <w:rPr>
          <w:rFonts w:ascii="Times New Roman" w:hAnsi="Times New Roman" w:cs="Times New Roman"/>
          <w:lang w:val="es-AR"/>
        </w:rPr>
        <w:t>.</w:t>
      </w:r>
      <w:r w:rsidR="00BB6B79" w:rsidRPr="00331929">
        <w:rPr>
          <w:rFonts w:ascii="Times New Roman" w:hAnsi="Times New Roman" w:cs="Times New Roman"/>
          <w:lang w:val="es-AR"/>
        </w:rPr>
        <w:t xml:space="preserve"> Dirección General de Estadísticas Libro digital, PDF Archivo Digital: descarga ISBN 978-987-47113-3-5</w:t>
      </w:r>
    </w:p>
    <w:p w14:paraId="713D7C92" w14:textId="20127D59" w:rsidR="0017384A" w:rsidRPr="00331929" w:rsidRDefault="00A63796" w:rsidP="000E259E">
      <w:pPr>
        <w:pStyle w:val="Prrafodelista"/>
        <w:numPr>
          <w:ilvl w:val="0"/>
          <w:numId w:val="6"/>
        </w:numPr>
        <w:spacing w:after="0"/>
        <w:jc w:val="both"/>
        <w:rPr>
          <w:rFonts w:ascii="Times New Roman" w:hAnsi="Times New Roman" w:cs="Times New Roman"/>
          <w:lang w:val="es-AR"/>
        </w:rPr>
      </w:pPr>
      <w:r w:rsidRPr="00331929">
        <w:rPr>
          <w:rFonts w:ascii="Times New Roman" w:hAnsi="Times New Roman" w:cs="Times New Roman"/>
          <w:lang w:val="es-AR"/>
        </w:rPr>
        <w:t>Gi</w:t>
      </w:r>
      <w:r w:rsidR="00861CDE">
        <w:rPr>
          <w:rFonts w:ascii="Times New Roman" w:hAnsi="Times New Roman" w:cs="Times New Roman"/>
          <w:lang w:val="es-AR"/>
        </w:rPr>
        <w:t>a</w:t>
      </w:r>
      <w:r w:rsidRPr="00331929">
        <w:rPr>
          <w:rFonts w:ascii="Times New Roman" w:hAnsi="Times New Roman" w:cs="Times New Roman"/>
          <w:lang w:val="es-AR"/>
        </w:rPr>
        <w:t>rracca, Norma y Teubal, Miguel (2006). “Territorios en disputa: los bienes natur</w:t>
      </w:r>
      <w:r w:rsidR="00AC6FDC" w:rsidRPr="00331929">
        <w:rPr>
          <w:rFonts w:ascii="Times New Roman" w:hAnsi="Times New Roman" w:cs="Times New Roman"/>
          <w:lang w:val="es-AR"/>
        </w:rPr>
        <w:t>ales en el centro de la escena”. E</w:t>
      </w:r>
      <w:r w:rsidRPr="00331929">
        <w:rPr>
          <w:rFonts w:ascii="Times New Roman" w:hAnsi="Times New Roman" w:cs="Times New Roman"/>
          <w:lang w:val="es-AR"/>
        </w:rPr>
        <w:t>n</w:t>
      </w:r>
      <w:r w:rsidR="008162B8" w:rsidRPr="00331929">
        <w:rPr>
          <w:rFonts w:ascii="Times New Roman" w:hAnsi="Times New Roman" w:cs="Times New Roman"/>
          <w:lang w:val="es-AR"/>
        </w:rPr>
        <w:t>:</w:t>
      </w:r>
      <w:r w:rsidRPr="00331929">
        <w:rPr>
          <w:rFonts w:ascii="Times New Roman" w:hAnsi="Times New Roman" w:cs="Times New Roman"/>
          <w:lang w:val="es-AR"/>
        </w:rPr>
        <w:t xml:space="preserve"> </w:t>
      </w:r>
      <w:r w:rsidRPr="00331929">
        <w:rPr>
          <w:rFonts w:ascii="Times New Roman" w:hAnsi="Times New Roman" w:cs="Times New Roman"/>
          <w:i/>
          <w:lang w:val="es-AR"/>
        </w:rPr>
        <w:t>Realidad Económica</w:t>
      </w:r>
      <w:r w:rsidRPr="00331929">
        <w:rPr>
          <w:rFonts w:ascii="Times New Roman" w:hAnsi="Times New Roman" w:cs="Times New Roman"/>
          <w:lang w:val="es-AR"/>
        </w:rPr>
        <w:t xml:space="preserve"> Nº217. Buenos Aires.</w:t>
      </w:r>
    </w:p>
    <w:p w14:paraId="5EE0DEDB" w14:textId="77777777" w:rsidR="00987DC2" w:rsidRPr="00331929" w:rsidRDefault="0017384A" w:rsidP="000E259E">
      <w:pPr>
        <w:pStyle w:val="Prrafodelista"/>
        <w:numPr>
          <w:ilvl w:val="0"/>
          <w:numId w:val="6"/>
        </w:numPr>
        <w:spacing w:after="0"/>
        <w:jc w:val="both"/>
        <w:rPr>
          <w:rFonts w:ascii="Times New Roman" w:hAnsi="Times New Roman" w:cs="Times New Roman"/>
          <w:lang w:val="es-AR"/>
        </w:rPr>
      </w:pPr>
      <w:r w:rsidRPr="00331929">
        <w:rPr>
          <w:rFonts w:ascii="Times New Roman" w:hAnsi="Times New Roman" w:cs="Times New Roman"/>
          <w:lang w:val="es-AR"/>
        </w:rPr>
        <w:t xml:space="preserve">Gras, C. y Bidaseca, K. ;(Dir.); (2011). </w:t>
      </w:r>
      <w:r w:rsidRPr="00331929">
        <w:rPr>
          <w:rFonts w:ascii="Times New Roman" w:hAnsi="Times New Roman" w:cs="Times New Roman"/>
          <w:i/>
          <w:lang w:val="es-AR"/>
        </w:rPr>
        <w:t>El mundo chacarero en tiempos de cambio. Herencia, territorio e identidad en los pueblos sojeros</w:t>
      </w:r>
      <w:r w:rsidRPr="00331929">
        <w:rPr>
          <w:rFonts w:ascii="Times New Roman" w:hAnsi="Times New Roman" w:cs="Times New Roman"/>
          <w:lang w:val="es-AR"/>
        </w:rPr>
        <w:t xml:space="preserve">, Buenos Aires, Ed. CICCUS. </w:t>
      </w:r>
    </w:p>
    <w:p w14:paraId="73D24E19" w14:textId="77777777" w:rsidR="00636975" w:rsidRPr="00331929" w:rsidRDefault="00987DC2" w:rsidP="000E259E">
      <w:pPr>
        <w:pStyle w:val="Prrafodelista"/>
        <w:numPr>
          <w:ilvl w:val="0"/>
          <w:numId w:val="6"/>
        </w:numPr>
        <w:spacing w:after="0"/>
        <w:jc w:val="both"/>
        <w:rPr>
          <w:rFonts w:ascii="Times New Roman" w:hAnsi="Times New Roman" w:cs="Times New Roman"/>
          <w:lang w:val="es-AR"/>
        </w:rPr>
      </w:pPr>
      <w:r w:rsidRPr="00331929">
        <w:rPr>
          <w:rFonts w:ascii="Times New Roman" w:hAnsi="Times New Roman" w:cs="Times New Roman"/>
          <w:lang w:val="es-AR"/>
        </w:rPr>
        <w:t>Harvey, David; (2004). “El nuevo imperialismo: acumulación por despos</w:t>
      </w:r>
      <w:r w:rsidR="00AC6FDC" w:rsidRPr="00331929">
        <w:rPr>
          <w:rFonts w:ascii="Times New Roman" w:hAnsi="Times New Roman" w:cs="Times New Roman"/>
          <w:lang w:val="es-AR"/>
        </w:rPr>
        <w:t xml:space="preserve">esión”. En: </w:t>
      </w:r>
      <w:r w:rsidR="00AC6FDC" w:rsidRPr="00331929">
        <w:rPr>
          <w:rFonts w:ascii="Times New Roman" w:hAnsi="Times New Roman" w:cs="Times New Roman"/>
          <w:i/>
          <w:lang w:val="es-AR"/>
        </w:rPr>
        <w:t>Socialist register</w:t>
      </w:r>
      <w:r w:rsidRPr="00331929">
        <w:rPr>
          <w:rFonts w:ascii="Times New Roman" w:hAnsi="Times New Roman" w:cs="Times New Roman"/>
          <w:lang w:val="es-AR"/>
        </w:rPr>
        <w:t xml:space="preserve">. </w:t>
      </w:r>
    </w:p>
    <w:p w14:paraId="660B0D6A" w14:textId="77777777" w:rsidR="0017384A" w:rsidRPr="00331929" w:rsidRDefault="0071137A" w:rsidP="000E259E">
      <w:pPr>
        <w:pStyle w:val="Prrafodelista"/>
        <w:numPr>
          <w:ilvl w:val="0"/>
          <w:numId w:val="6"/>
        </w:numPr>
        <w:spacing w:after="0"/>
        <w:jc w:val="both"/>
        <w:rPr>
          <w:rFonts w:ascii="Times New Roman" w:hAnsi="Times New Roman" w:cs="Times New Roman"/>
          <w:lang w:val="es-AR"/>
        </w:rPr>
      </w:pPr>
      <w:r w:rsidRPr="00331929">
        <w:rPr>
          <w:rFonts w:ascii="Times New Roman" w:hAnsi="Times New Roman" w:cs="Times New Roman"/>
          <w:lang w:val="es-AR"/>
        </w:rPr>
        <w:t xml:space="preserve">Paz, R., Rodríguez Sperat, R. y Jara, C. (2018). </w:t>
      </w:r>
      <w:r w:rsidRPr="00331929">
        <w:rPr>
          <w:rFonts w:ascii="Times New Roman" w:hAnsi="Times New Roman" w:cs="Times New Roman"/>
          <w:i/>
          <w:lang w:val="es-AR"/>
        </w:rPr>
        <w:t>Sistemas comunales y explotaciones sin límites definidos. Persistencia del campesinado en Argentina</w:t>
      </w:r>
      <w:r w:rsidRPr="00331929">
        <w:rPr>
          <w:rFonts w:ascii="Times New Roman" w:hAnsi="Times New Roman" w:cs="Times New Roman"/>
          <w:lang w:val="es-AR"/>
        </w:rPr>
        <w:t>. Santiago del Estero: Edunse.</w:t>
      </w:r>
    </w:p>
    <w:p w14:paraId="510E90EB" w14:textId="77777777" w:rsidR="00282C26" w:rsidRPr="00331929" w:rsidRDefault="00EE5582" w:rsidP="000E259E">
      <w:pPr>
        <w:pStyle w:val="yiv3487562442msonormal"/>
        <w:numPr>
          <w:ilvl w:val="0"/>
          <w:numId w:val="6"/>
        </w:numPr>
        <w:shd w:val="clear" w:color="auto" w:fill="FFFFFF"/>
        <w:spacing w:before="0" w:beforeAutospacing="0" w:after="0" w:afterAutospacing="0"/>
        <w:jc w:val="both"/>
        <w:rPr>
          <w:sz w:val="22"/>
          <w:szCs w:val="22"/>
          <w:lang w:val="es-AR"/>
        </w:rPr>
      </w:pPr>
      <w:r w:rsidRPr="00331929">
        <w:rPr>
          <w:sz w:val="22"/>
          <w:szCs w:val="22"/>
          <w:lang w:val="es-AR"/>
        </w:rPr>
        <w:t xml:space="preserve">Paruelo, J.; Verón, S. et all </w:t>
      </w:r>
      <w:r w:rsidR="00282C26" w:rsidRPr="00331929">
        <w:rPr>
          <w:sz w:val="22"/>
          <w:szCs w:val="22"/>
          <w:lang w:val="es-AR"/>
        </w:rPr>
        <w:t xml:space="preserve">(2011). </w:t>
      </w:r>
      <w:r w:rsidR="00282C26" w:rsidRPr="00331929">
        <w:rPr>
          <w:i/>
          <w:sz w:val="22"/>
          <w:szCs w:val="22"/>
          <w:lang w:val="es-AR"/>
        </w:rPr>
        <w:t>Elementos conceptuales y metodológicos para la Evaluación de Impactos Ambientales Acumulativos (EIAAc) en bosques subtropicales. El caso del este de Salta, Argentina</w:t>
      </w:r>
      <w:r w:rsidR="00282C26" w:rsidRPr="00331929">
        <w:rPr>
          <w:sz w:val="22"/>
          <w:szCs w:val="22"/>
          <w:lang w:val="es-AR"/>
        </w:rPr>
        <w:t>. Ecología Austral 21:163-178. Agosto 2011 Asociación Argentina de Ecología.</w:t>
      </w:r>
    </w:p>
    <w:p w14:paraId="36DA796A" w14:textId="77777777" w:rsidR="00F95714" w:rsidRPr="00331929" w:rsidRDefault="00F95714" w:rsidP="000E259E">
      <w:pPr>
        <w:pStyle w:val="yiv3487562442msonormal"/>
        <w:numPr>
          <w:ilvl w:val="0"/>
          <w:numId w:val="6"/>
        </w:numPr>
        <w:shd w:val="clear" w:color="auto" w:fill="FFFFFF"/>
        <w:spacing w:before="0" w:beforeAutospacing="0" w:after="0" w:afterAutospacing="0"/>
        <w:jc w:val="both"/>
        <w:rPr>
          <w:sz w:val="22"/>
          <w:szCs w:val="22"/>
          <w:lang w:val="es-AR"/>
        </w:rPr>
      </w:pPr>
      <w:r w:rsidRPr="00331929">
        <w:rPr>
          <w:sz w:val="22"/>
          <w:szCs w:val="22"/>
          <w:lang w:val="es-AR"/>
        </w:rPr>
        <w:t>Prukin N; (1997)</w:t>
      </w:r>
      <w:r w:rsidR="00AC6FDC" w:rsidRPr="00331929">
        <w:rPr>
          <w:sz w:val="22"/>
          <w:szCs w:val="22"/>
          <w:lang w:val="es-AR"/>
        </w:rPr>
        <w:t>. “</w:t>
      </w:r>
      <w:r w:rsidR="00636975" w:rsidRPr="00331929">
        <w:rPr>
          <w:sz w:val="22"/>
          <w:szCs w:val="22"/>
          <w:lang w:val="es-AR"/>
        </w:rPr>
        <w:t>Umbral</w:t>
      </w:r>
      <w:r w:rsidRPr="00331929">
        <w:rPr>
          <w:sz w:val="22"/>
          <w:szCs w:val="22"/>
          <w:lang w:val="es-AR"/>
        </w:rPr>
        <w:t xml:space="preserve"> al Chaco: una opción en la encrucijada</w:t>
      </w:r>
      <w:r w:rsidR="00636975" w:rsidRPr="00331929">
        <w:rPr>
          <w:sz w:val="22"/>
          <w:szCs w:val="22"/>
          <w:lang w:val="es-AR"/>
        </w:rPr>
        <w:t>”. En R</w:t>
      </w:r>
      <w:r w:rsidRPr="00331929">
        <w:rPr>
          <w:sz w:val="22"/>
          <w:szCs w:val="22"/>
          <w:lang w:val="es-AR"/>
        </w:rPr>
        <w:t xml:space="preserve">eboratti, C (Comp.) </w:t>
      </w:r>
      <w:r w:rsidR="00636975" w:rsidRPr="00331929">
        <w:rPr>
          <w:i/>
          <w:sz w:val="22"/>
          <w:szCs w:val="22"/>
          <w:lang w:val="es-AR"/>
        </w:rPr>
        <w:t>De hombres y tierras. Una historia ambiental del noroeste argentino</w:t>
      </w:r>
      <w:r w:rsidR="00636975" w:rsidRPr="00331929">
        <w:rPr>
          <w:sz w:val="22"/>
          <w:szCs w:val="22"/>
          <w:lang w:val="es-AR"/>
        </w:rPr>
        <w:t>.</w:t>
      </w:r>
      <w:r w:rsidR="008162B8" w:rsidRPr="00331929">
        <w:rPr>
          <w:sz w:val="22"/>
          <w:szCs w:val="22"/>
          <w:lang w:val="es-AR"/>
        </w:rPr>
        <w:t xml:space="preserve"> </w:t>
      </w:r>
      <w:r w:rsidR="00636975" w:rsidRPr="00331929">
        <w:rPr>
          <w:sz w:val="22"/>
          <w:szCs w:val="22"/>
          <w:lang w:val="es-AR"/>
        </w:rPr>
        <w:t>(pp.97-113).</w:t>
      </w:r>
      <w:r w:rsidR="008162B8" w:rsidRPr="00331929">
        <w:rPr>
          <w:sz w:val="22"/>
          <w:szCs w:val="22"/>
          <w:lang w:val="es-AR"/>
        </w:rPr>
        <w:t xml:space="preserve"> </w:t>
      </w:r>
      <w:r w:rsidR="00636975" w:rsidRPr="00331929">
        <w:rPr>
          <w:sz w:val="22"/>
          <w:szCs w:val="22"/>
          <w:lang w:val="es-AR"/>
        </w:rPr>
        <w:t>Salta: Proyecto Desarrollo Agroforestal en Comunidades Rurales del NOA-GTZ</w:t>
      </w:r>
    </w:p>
    <w:p w14:paraId="76709C84" w14:textId="77777777" w:rsidR="0017384A" w:rsidRPr="00331929" w:rsidRDefault="0017384A" w:rsidP="000E259E">
      <w:pPr>
        <w:pStyle w:val="Prrafodelista"/>
        <w:numPr>
          <w:ilvl w:val="0"/>
          <w:numId w:val="6"/>
        </w:numPr>
        <w:spacing w:after="0"/>
        <w:jc w:val="both"/>
        <w:rPr>
          <w:rFonts w:ascii="Times New Roman" w:hAnsi="Times New Roman" w:cs="Times New Roman"/>
          <w:lang w:val="es-AR"/>
        </w:rPr>
      </w:pPr>
      <w:r w:rsidRPr="00331929">
        <w:rPr>
          <w:rFonts w:ascii="Times New Roman" w:hAnsi="Times New Roman" w:cs="Times New Roman"/>
          <w:lang w:val="es-AR"/>
        </w:rPr>
        <w:lastRenderedPageBreak/>
        <w:t xml:space="preserve">Rodríguez Faraldo, M.; (2011). </w:t>
      </w:r>
      <w:r w:rsidRPr="00331929">
        <w:rPr>
          <w:rFonts w:ascii="Times New Roman" w:hAnsi="Times New Roman" w:cs="Times New Roman"/>
          <w:i/>
          <w:lang w:val="es-AR"/>
        </w:rPr>
        <w:t>Los grupos sociales, sus intereses y sus influencias en la generación de políticas públicas que acompañaron los cambios productivos en el Valle de Lerma, desde la década de 1920 a la de 1970</w:t>
      </w:r>
      <w:r w:rsidRPr="00331929">
        <w:rPr>
          <w:rFonts w:ascii="Times New Roman" w:hAnsi="Times New Roman" w:cs="Times New Roman"/>
          <w:lang w:val="es-AR"/>
        </w:rPr>
        <w:t>. Tesis de maestría; Maestría en Políticas Sociales Facultad de Humanidades. UNSa. Salta.</w:t>
      </w:r>
    </w:p>
    <w:p w14:paraId="593158F5" w14:textId="77777777" w:rsidR="0017384A" w:rsidRPr="00331929" w:rsidRDefault="00987DC2" w:rsidP="000E259E">
      <w:pPr>
        <w:pStyle w:val="Prrafodelista"/>
        <w:numPr>
          <w:ilvl w:val="0"/>
          <w:numId w:val="6"/>
        </w:numPr>
        <w:spacing w:after="0"/>
        <w:jc w:val="both"/>
        <w:rPr>
          <w:rFonts w:ascii="Times New Roman" w:hAnsi="Times New Roman" w:cs="Times New Roman"/>
          <w:lang w:val="es-AR"/>
        </w:rPr>
      </w:pPr>
      <w:r w:rsidRPr="00331929">
        <w:rPr>
          <w:rFonts w:ascii="Times New Roman" w:hAnsi="Times New Roman" w:cs="Times New Roman"/>
          <w:lang w:val="es-AR"/>
        </w:rPr>
        <w:t>Sili,</w:t>
      </w:r>
      <w:r w:rsidR="00B27807" w:rsidRPr="00331929">
        <w:rPr>
          <w:rFonts w:ascii="Times New Roman" w:hAnsi="Times New Roman" w:cs="Times New Roman"/>
          <w:lang w:val="es-AR"/>
        </w:rPr>
        <w:t xml:space="preserve"> </w:t>
      </w:r>
      <w:r w:rsidRPr="00331929">
        <w:rPr>
          <w:rFonts w:ascii="Times New Roman" w:hAnsi="Times New Roman" w:cs="Times New Roman"/>
          <w:lang w:val="es-AR"/>
        </w:rPr>
        <w:t>Marcelo y Soumoulou, Luciana (2011)</w:t>
      </w:r>
      <w:r w:rsidR="00AC6FDC" w:rsidRPr="00331929">
        <w:rPr>
          <w:rFonts w:ascii="Times New Roman" w:hAnsi="Times New Roman" w:cs="Times New Roman"/>
          <w:lang w:val="es-AR"/>
        </w:rPr>
        <w:t>.</w:t>
      </w:r>
      <w:r w:rsidRPr="00331929">
        <w:rPr>
          <w:rFonts w:ascii="Times New Roman" w:hAnsi="Times New Roman" w:cs="Times New Roman"/>
          <w:lang w:val="es-AR"/>
        </w:rPr>
        <w:t xml:space="preserve"> </w:t>
      </w:r>
      <w:r w:rsidRPr="00331929">
        <w:rPr>
          <w:rFonts w:ascii="Times New Roman" w:hAnsi="Times New Roman" w:cs="Times New Roman"/>
          <w:i/>
          <w:lang w:val="es-AR"/>
        </w:rPr>
        <w:t>La problemática de la tierra en Argentina.</w:t>
      </w:r>
      <w:r w:rsidR="00A01E26" w:rsidRPr="00331929">
        <w:rPr>
          <w:rFonts w:ascii="Times New Roman" w:hAnsi="Times New Roman" w:cs="Times New Roman"/>
          <w:i/>
          <w:lang w:val="es-AR"/>
        </w:rPr>
        <w:t xml:space="preserve"> </w:t>
      </w:r>
      <w:r w:rsidRPr="00331929">
        <w:rPr>
          <w:rFonts w:ascii="Times New Roman" w:hAnsi="Times New Roman" w:cs="Times New Roman"/>
          <w:i/>
          <w:lang w:val="es-AR"/>
        </w:rPr>
        <w:t xml:space="preserve">Conflictos y </w:t>
      </w:r>
      <w:r w:rsidR="00A01E26" w:rsidRPr="00331929">
        <w:rPr>
          <w:rFonts w:ascii="Times New Roman" w:hAnsi="Times New Roman" w:cs="Times New Roman"/>
          <w:i/>
          <w:lang w:val="es-AR"/>
        </w:rPr>
        <w:t>d</w:t>
      </w:r>
      <w:r w:rsidRPr="00331929">
        <w:rPr>
          <w:rFonts w:ascii="Times New Roman" w:hAnsi="Times New Roman" w:cs="Times New Roman"/>
          <w:i/>
          <w:lang w:val="es-AR"/>
        </w:rPr>
        <w:t xml:space="preserve">inámicas de </w:t>
      </w:r>
      <w:r w:rsidR="00A01E26" w:rsidRPr="00331929">
        <w:rPr>
          <w:rFonts w:ascii="Times New Roman" w:hAnsi="Times New Roman" w:cs="Times New Roman"/>
          <w:i/>
          <w:lang w:val="es-AR"/>
        </w:rPr>
        <w:t xml:space="preserve">uso, tenencia </w:t>
      </w:r>
      <w:r w:rsidRPr="00331929">
        <w:rPr>
          <w:rFonts w:ascii="Times New Roman" w:hAnsi="Times New Roman" w:cs="Times New Roman"/>
          <w:i/>
          <w:lang w:val="es-AR"/>
        </w:rPr>
        <w:t xml:space="preserve">y </w:t>
      </w:r>
      <w:r w:rsidR="00A01E26" w:rsidRPr="00331929">
        <w:rPr>
          <w:rFonts w:ascii="Times New Roman" w:hAnsi="Times New Roman" w:cs="Times New Roman"/>
          <w:i/>
          <w:lang w:val="es-AR"/>
        </w:rPr>
        <w:t>concentración</w:t>
      </w:r>
      <w:r w:rsidR="00A01E26" w:rsidRPr="00331929">
        <w:rPr>
          <w:rFonts w:ascii="Times New Roman" w:hAnsi="Times New Roman" w:cs="Times New Roman"/>
          <w:lang w:val="es-AR"/>
        </w:rPr>
        <w:t>.</w:t>
      </w:r>
      <w:r w:rsidR="00DB7729" w:rsidRPr="00331929">
        <w:rPr>
          <w:rFonts w:ascii="Times New Roman" w:hAnsi="Times New Roman" w:cs="Times New Roman"/>
          <w:lang w:val="es-AR"/>
        </w:rPr>
        <w:t xml:space="preserve"> FIDA y Ministerio de Agricultura de la Nación.</w:t>
      </w:r>
    </w:p>
    <w:sectPr w:rsidR="0017384A" w:rsidRPr="00331929">
      <w:footerReference w:type="default" r:id="rId12"/>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usana Soverna" w:date="2020-09-08T17:00:00Z" w:initials="SS">
    <w:p w14:paraId="18BF291F" w14:textId="24C866FF" w:rsidR="00B8358C" w:rsidRPr="00D673B2" w:rsidRDefault="00B8358C">
      <w:pPr>
        <w:pStyle w:val="Textocomentario"/>
        <w:rPr>
          <w:lang w:val="es-ES"/>
        </w:rPr>
      </w:pPr>
      <w:r>
        <w:rPr>
          <w:rStyle w:val="Refdecomentario"/>
        </w:rPr>
        <w:annotationRef/>
      </w:r>
      <w:r>
        <w:rPr>
          <w:lang w:val="es-ES"/>
        </w:rPr>
        <w:t>El poroto au</w:t>
      </w:r>
      <w:r w:rsidRPr="00D673B2">
        <w:rPr>
          <w:lang w:val="es-ES"/>
        </w:rPr>
        <w:t>m</w:t>
      </w:r>
      <w:r>
        <w:rPr>
          <w:lang w:val="es-ES"/>
        </w:rPr>
        <w:t>enta más de 50000. Has ¿Se puede reemplazar “escaso” por “relativo”?</w:t>
      </w:r>
    </w:p>
  </w:comment>
  <w:comment w:id="2" w:author="Susana Soverna" w:date="2020-09-08T16:42:00Z" w:initials="SS">
    <w:p w14:paraId="28A8B4F1" w14:textId="46661370" w:rsidR="00B8358C" w:rsidRPr="00967FE7" w:rsidRDefault="00B8358C">
      <w:pPr>
        <w:pStyle w:val="Textocomentario"/>
        <w:rPr>
          <w:lang w:val="es-ES"/>
        </w:rPr>
      </w:pPr>
      <w:r>
        <w:rPr>
          <w:rStyle w:val="Refdecomentario"/>
        </w:rPr>
        <w:annotationRef/>
      </w:r>
      <w:r>
        <w:rPr>
          <w:lang w:val="es-ES"/>
        </w:rPr>
        <w:t>¿No cabría plantearse también la hipótesis del ocultamiento por parte de los informantes al censo?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BF291F" w15:done="0"/>
  <w15:commentEx w15:paraId="28A8B4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23735" w16cex:dateUtc="2020-09-08T20:00:00Z"/>
  <w16cex:commentExtensible w16cex:durableId="23023305" w16cex:dateUtc="2020-09-08T19:42:00Z"/>
  <w16cex:commentExtensible w16cex:durableId="23023822" w16cex:dateUtc="2020-09-08T20: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BF291F" w16cid:durableId="23023735"/>
  <w16cid:commentId w16cid:paraId="28A8B4F1" w16cid:durableId="23023305"/>
  <w16cid:commentId w16cid:paraId="60C3A66D" w16cid:durableId="2302382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F0EC9" w14:textId="77777777" w:rsidR="00270C8F" w:rsidRDefault="00270C8F" w:rsidP="00EF26CA">
      <w:pPr>
        <w:spacing w:after="0" w:line="240" w:lineRule="auto"/>
      </w:pPr>
      <w:r>
        <w:separator/>
      </w:r>
    </w:p>
  </w:endnote>
  <w:endnote w:type="continuationSeparator" w:id="0">
    <w:p w14:paraId="6A7C6651" w14:textId="77777777" w:rsidR="00270C8F" w:rsidRDefault="00270C8F" w:rsidP="00EF2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114103"/>
      <w:docPartObj>
        <w:docPartGallery w:val="Page Numbers (Bottom of Page)"/>
        <w:docPartUnique/>
      </w:docPartObj>
    </w:sdtPr>
    <w:sdtEndPr/>
    <w:sdtContent>
      <w:p w14:paraId="4FF29C64" w14:textId="0B3BF331" w:rsidR="00B8358C" w:rsidRDefault="00B8358C">
        <w:pPr>
          <w:pStyle w:val="Piedepgina"/>
          <w:jc w:val="right"/>
        </w:pPr>
        <w:r>
          <w:fldChar w:fldCharType="begin"/>
        </w:r>
        <w:r>
          <w:instrText>PAGE   \* MERGEFORMAT</w:instrText>
        </w:r>
        <w:r>
          <w:fldChar w:fldCharType="separate"/>
        </w:r>
        <w:r w:rsidR="003D2F28" w:rsidRPr="003D2F28">
          <w:rPr>
            <w:noProof/>
            <w:lang w:val="es-ES"/>
          </w:rPr>
          <w:t>1</w:t>
        </w:r>
        <w:r>
          <w:fldChar w:fldCharType="end"/>
        </w:r>
      </w:p>
    </w:sdtContent>
  </w:sdt>
  <w:p w14:paraId="29667CED" w14:textId="77777777" w:rsidR="00B8358C" w:rsidRDefault="00B8358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A7181" w14:textId="77777777" w:rsidR="00270C8F" w:rsidRDefault="00270C8F" w:rsidP="00EF26CA">
      <w:pPr>
        <w:spacing w:after="0" w:line="240" w:lineRule="auto"/>
      </w:pPr>
      <w:r>
        <w:separator/>
      </w:r>
    </w:p>
  </w:footnote>
  <w:footnote w:type="continuationSeparator" w:id="0">
    <w:p w14:paraId="6BBAAE5E" w14:textId="77777777" w:rsidR="00270C8F" w:rsidRDefault="00270C8F" w:rsidP="00EF26CA">
      <w:pPr>
        <w:spacing w:after="0" w:line="240" w:lineRule="auto"/>
      </w:pPr>
      <w:r>
        <w:continuationSeparator/>
      </w:r>
    </w:p>
  </w:footnote>
  <w:footnote w:id="1">
    <w:p w14:paraId="21727040" w14:textId="77777777" w:rsidR="00B8358C" w:rsidRDefault="00B8358C" w:rsidP="00EF26CA">
      <w:pPr>
        <w:pStyle w:val="Textonotapie"/>
        <w:jc w:val="both"/>
        <w:rPr>
          <w:color w:val="auto"/>
        </w:rPr>
      </w:pPr>
      <w:r>
        <w:rPr>
          <w:rStyle w:val="Refdenotaalpie"/>
          <w:color w:val="auto"/>
        </w:rPr>
        <w:footnoteRef/>
      </w:r>
      <w:r>
        <w:rPr>
          <w:color w:val="auto"/>
        </w:rPr>
        <w:t xml:space="preserve"> Aún en la actualidad, los ingresos provinciales percibidos por la producción de tabaco, son inferiores a los gastos realizados en concepto de carne y leche provenientes de provincias del sur del país (Rodríguez Faraldo, 2008a).</w:t>
      </w:r>
    </w:p>
  </w:footnote>
  <w:footnote w:id="2">
    <w:p w14:paraId="3E48FCF9" w14:textId="77777777" w:rsidR="00B8358C" w:rsidRPr="008162B8" w:rsidRDefault="00B8358C" w:rsidP="0072400F">
      <w:pPr>
        <w:pStyle w:val="Textonotapie"/>
        <w:rPr>
          <w:color w:val="auto"/>
          <w:lang w:val="es-AR"/>
        </w:rPr>
      </w:pPr>
      <w:r w:rsidRPr="008162B8">
        <w:rPr>
          <w:rStyle w:val="Refdenotaalpie"/>
          <w:color w:val="auto"/>
        </w:rPr>
        <w:footnoteRef/>
      </w:r>
      <w:r>
        <w:rPr>
          <w:color w:val="auto"/>
        </w:rPr>
        <w:t xml:space="preserve"> Dirección General de Estadísticas de la Provincia de Salta (DGE)</w:t>
      </w:r>
      <w:r w:rsidRPr="008162B8">
        <w:rPr>
          <w:color w:val="auto"/>
        </w:rPr>
        <w:t>.</w:t>
      </w:r>
    </w:p>
  </w:footnote>
  <w:footnote w:id="3">
    <w:p w14:paraId="111DBF5E" w14:textId="77777777" w:rsidR="00B8358C" w:rsidRPr="00D865EC" w:rsidRDefault="00B8358C">
      <w:pPr>
        <w:pStyle w:val="Textonotapie"/>
        <w:rPr>
          <w:color w:val="auto"/>
          <w:lang w:val="es-AR"/>
        </w:rPr>
      </w:pPr>
      <w:r w:rsidRPr="00D865EC">
        <w:rPr>
          <w:rStyle w:val="Refdenotaalpie"/>
          <w:color w:val="auto"/>
        </w:rPr>
        <w:footnoteRef/>
      </w:r>
      <w:r w:rsidRPr="00D865EC">
        <w:rPr>
          <w:color w:val="auto"/>
        </w:rPr>
        <w:t xml:space="preserve"> </w:t>
      </w:r>
      <w:r w:rsidRPr="00D865EC">
        <w:rPr>
          <w:color w:val="auto"/>
          <w:lang w:val="es-AR"/>
        </w:rPr>
        <w:t>67% de</w:t>
      </w:r>
      <w:r>
        <w:rPr>
          <w:color w:val="auto"/>
          <w:lang w:val="es-AR"/>
        </w:rPr>
        <w:t xml:space="preserve"> </w:t>
      </w:r>
      <w:r w:rsidRPr="00D865EC">
        <w:rPr>
          <w:color w:val="auto"/>
          <w:lang w:val="es-AR"/>
        </w:rPr>
        <w:t>l</w:t>
      </w:r>
      <w:r>
        <w:rPr>
          <w:color w:val="auto"/>
          <w:lang w:val="es-AR"/>
        </w:rPr>
        <w:t>a</w:t>
      </w:r>
      <w:r w:rsidRPr="00D865EC">
        <w:rPr>
          <w:color w:val="auto"/>
          <w:lang w:val="es-AR"/>
        </w:rPr>
        <w:t xml:space="preserve"> </w:t>
      </w:r>
      <w:r>
        <w:rPr>
          <w:color w:val="auto"/>
          <w:lang w:val="es-AR"/>
        </w:rPr>
        <w:t xml:space="preserve">producción </w:t>
      </w:r>
      <w:r w:rsidRPr="00D865EC">
        <w:rPr>
          <w:color w:val="auto"/>
          <w:lang w:val="es-AR"/>
        </w:rPr>
        <w:t>total nacional</w:t>
      </w:r>
      <w:r>
        <w:rPr>
          <w:color w:val="auto"/>
          <w:lang w:val="es-AR"/>
        </w:rPr>
        <w:t xml:space="preserve"> </w:t>
      </w:r>
      <w:r w:rsidRPr="00D865EC">
        <w:rPr>
          <w:color w:val="auto"/>
          <w:lang w:val="es-AR"/>
        </w:rPr>
        <w:t xml:space="preserve">en el </w:t>
      </w:r>
      <w:r>
        <w:rPr>
          <w:color w:val="auto"/>
          <w:lang w:val="es-AR"/>
        </w:rPr>
        <w:t>año 2017, según datos de la DGE.</w:t>
      </w:r>
    </w:p>
  </w:footnote>
  <w:footnote w:id="4">
    <w:p w14:paraId="3D4323A2" w14:textId="77777777" w:rsidR="00B8358C" w:rsidRPr="00D865EC" w:rsidRDefault="00B8358C" w:rsidP="00D865EC">
      <w:pPr>
        <w:pStyle w:val="Textonotapie"/>
        <w:rPr>
          <w:color w:val="auto"/>
          <w:lang w:val="es-AR"/>
        </w:rPr>
      </w:pPr>
      <w:r w:rsidRPr="00D865EC">
        <w:rPr>
          <w:rStyle w:val="Refdenotaalpie"/>
          <w:color w:val="auto"/>
        </w:rPr>
        <w:footnoteRef/>
      </w:r>
      <w:r w:rsidRPr="00D865EC">
        <w:rPr>
          <w:color w:val="auto"/>
        </w:rPr>
        <w:t xml:space="preserve"> </w:t>
      </w:r>
      <w:r w:rsidRPr="00D865EC">
        <w:rPr>
          <w:color w:val="auto"/>
          <w:lang w:val="es-AR"/>
        </w:rPr>
        <w:t>40 % de l</w:t>
      </w:r>
      <w:r>
        <w:rPr>
          <w:color w:val="auto"/>
          <w:lang w:val="es-AR"/>
        </w:rPr>
        <w:t>a producción total nacional de p</w:t>
      </w:r>
      <w:r w:rsidRPr="00D865EC">
        <w:rPr>
          <w:color w:val="auto"/>
          <w:lang w:val="es-AR"/>
        </w:rPr>
        <w:t>omelo para el año 2017, según datos de la DGE</w:t>
      </w:r>
      <w:r>
        <w:rPr>
          <w:color w:val="auto"/>
          <w:lang w:val="es-AR"/>
        </w:rPr>
        <w:t>.</w:t>
      </w:r>
    </w:p>
  </w:footnote>
  <w:footnote w:id="5">
    <w:p w14:paraId="53BAD751" w14:textId="77777777" w:rsidR="00B8358C" w:rsidRPr="000E70A8" w:rsidRDefault="00B8358C" w:rsidP="00BD33CD">
      <w:pPr>
        <w:spacing w:after="0" w:line="240" w:lineRule="auto"/>
        <w:jc w:val="both"/>
        <w:rPr>
          <w:lang w:val="es-ES"/>
        </w:rPr>
      </w:pPr>
      <w:r>
        <w:rPr>
          <w:rStyle w:val="Refdenotaalpie"/>
        </w:rPr>
        <w:footnoteRef/>
      </w:r>
      <w:r>
        <w:rPr>
          <w:lang w:val="es-AR"/>
        </w:rPr>
        <w:t xml:space="preserve"> </w:t>
      </w:r>
      <w:r w:rsidRPr="00804902">
        <w:rPr>
          <w:rFonts w:ascii="Times New Roman" w:hAnsi="Times New Roman" w:cs="Times New Roman"/>
          <w:sz w:val="20"/>
          <w:szCs w:val="20"/>
          <w:lang w:val="es-AR"/>
        </w:rPr>
        <w:t>“Ofensiva extractivista” es un término acuñado por Seoan</w:t>
      </w:r>
      <w:r>
        <w:rPr>
          <w:rFonts w:ascii="Times New Roman" w:hAnsi="Times New Roman" w:cs="Times New Roman"/>
          <w:sz w:val="20"/>
          <w:szCs w:val="20"/>
          <w:lang w:val="es-AR"/>
        </w:rPr>
        <w:t>e (2013), cuando hace</w:t>
      </w:r>
      <w:r w:rsidRPr="00804902">
        <w:rPr>
          <w:rFonts w:ascii="Times New Roman" w:hAnsi="Times New Roman" w:cs="Times New Roman"/>
          <w:sz w:val="20"/>
          <w:szCs w:val="20"/>
          <w:lang w:val="es-AR"/>
        </w:rPr>
        <w:t xml:space="preserve"> referenc</w:t>
      </w:r>
      <w:r>
        <w:rPr>
          <w:rFonts w:ascii="Times New Roman" w:hAnsi="Times New Roman" w:cs="Times New Roman"/>
          <w:sz w:val="20"/>
          <w:szCs w:val="20"/>
          <w:lang w:val="es-AR"/>
        </w:rPr>
        <w:t>ia al crecimiento exponencial que</w:t>
      </w:r>
      <w:r w:rsidRPr="00804902">
        <w:rPr>
          <w:rFonts w:ascii="Times New Roman" w:hAnsi="Times New Roman" w:cs="Times New Roman"/>
          <w:sz w:val="20"/>
          <w:szCs w:val="20"/>
          <w:lang w:val="es-AR"/>
        </w:rPr>
        <w:t xml:space="preserve"> este modelo </w:t>
      </w:r>
      <w:r>
        <w:rPr>
          <w:rFonts w:ascii="Times New Roman" w:hAnsi="Times New Roman" w:cs="Times New Roman"/>
          <w:sz w:val="20"/>
          <w:szCs w:val="20"/>
          <w:lang w:val="es-AR"/>
        </w:rPr>
        <w:t xml:space="preserve">tuvo </w:t>
      </w:r>
      <w:r w:rsidRPr="00804902">
        <w:rPr>
          <w:rFonts w:ascii="Times New Roman" w:hAnsi="Times New Roman" w:cs="Times New Roman"/>
          <w:sz w:val="20"/>
          <w:szCs w:val="20"/>
          <w:lang w:val="es-AR"/>
        </w:rPr>
        <w:t xml:space="preserve">en América Latina durante el período 2003-2008, pero se puede considerar este concepto en términos más generales, y cuya genealogía puede rastrearse hasta (por lo </w:t>
      </w:r>
      <w:r>
        <w:rPr>
          <w:rFonts w:ascii="Times New Roman" w:hAnsi="Times New Roman" w:cs="Times New Roman"/>
          <w:sz w:val="20"/>
          <w:szCs w:val="20"/>
          <w:lang w:val="es-AR"/>
        </w:rPr>
        <w:t>menos) los años noventa</w:t>
      </w:r>
      <w:r w:rsidRPr="00804902">
        <w:rPr>
          <w:rFonts w:ascii="Times New Roman" w:hAnsi="Times New Roman" w:cs="Times New Roman"/>
          <w:sz w:val="20"/>
          <w:szCs w:val="20"/>
          <w:lang w:val="es-AR"/>
        </w:rPr>
        <w:t xml:space="preserve"> </w:t>
      </w:r>
      <w:r>
        <w:rPr>
          <w:rFonts w:ascii="Times New Roman" w:hAnsi="Times New Roman" w:cs="Times New Roman"/>
          <w:sz w:val="20"/>
          <w:szCs w:val="20"/>
          <w:lang w:val="es-AR"/>
        </w:rPr>
        <w:t>(</w:t>
      </w:r>
      <w:r w:rsidRPr="00804902">
        <w:rPr>
          <w:rFonts w:ascii="Times New Roman" w:hAnsi="Times New Roman" w:cs="Times New Roman"/>
          <w:sz w:val="20"/>
          <w:szCs w:val="20"/>
          <w:lang w:val="es-AR"/>
        </w:rPr>
        <w:t>Composto y Navarro</w:t>
      </w:r>
      <w:r>
        <w:rPr>
          <w:rFonts w:ascii="Times New Roman" w:hAnsi="Times New Roman" w:cs="Times New Roman"/>
          <w:sz w:val="20"/>
          <w:szCs w:val="20"/>
          <w:lang w:val="es-AR"/>
        </w:rPr>
        <w:t xml:space="preserve">, </w:t>
      </w:r>
      <w:r w:rsidRPr="00804902">
        <w:rPr>
          <w:rFonts w:ascii="Times New Roman" w:hAnsi="Times New Roman" w:cs="Times New Roman"/>
          <w:sz w:val="20"/>
          <w:szCs w:val="20"/>
          <w:lang w:val="es-AR"/>
        </w:rPr>
        <w:t xml:space="preserve">2014:50). </w:t>
      </w:r>
    </w:p>
  </w:footnote>
  <w:footnote w:id="6">
    <w:p w14:paraId="41E3139F" w14:textId="77777777" w:rsidR="00B8358C" w:rsidRPr="00D277A4" w:rsidRDefault="00B8358C" w:rsidP="00035E91">
      <w:pPr>
        <w:pStyle w:val="Textonotapie"/>
        <w:jc w:val="both"/>
        <w:rPr>
          <w:color w:val="auto"/>
        </w:rPr>
      </w:pPr>
      <w:r w:rsidRPr="00804902">
        <w:rPr>
          <w:rStyle w:val="Refdenotaalpie"/>
          <w:color w:val="auto"/>
        </w:rPr>
        <w:footnoteRef/>
      </w:r>
      <w:r w:rsidRPr="00804902">
        <w:rPr>
          <w:color w:val="auto"/>
        </w:rPr>
        <w:t xml:space="preserve"> El Umbr</w:t>
      </w:r>
      <w:r>
        <w:rPr>
          <w:color w:val="auto"/>
        </w:rPr>
        <w:t>al al Chaco es descripto por Pru</w:t>
      </w:r>
      <w:r w:rsidRPr="00804902">
        <w:rPr>
          <w:color w:val="auto"/>
        </w:rPr>
        <w:t>dkin (1997:98) como una franja de algunas decenas de kilómetros entre el sist</w:t>
      </w:r>
      <w:r>
        <w:rPr>
          <w:color w:val="auto"/>
        </w:rPr>
        <w:t>ema montañoso andino y la gran Llanura chaqueña</w:t>
      </w:r>
      <w:r w:rsidRPr="00804902">
        <w:rPr>
          <w:color w:val="auto"/>
        </w:rPr>
        <w:t xml:space="preserve"> que se extiende desde Yacuiba </w:t>
      </w:r>
      <w:r>
        <w:rPr>
          <w:color w:val="auto"/>
        </w:rPr>
        <w:t xml:space="preserve">en Bolivia </w:t>
      </w:r>
      <w:r w:rsidRPr="00804902">
        <w:rPr>
          <w:color w:val="auto"/>
        </w:rPr>
        <w:t xml:space="preserve">hasta </w:t>
      </w:r>
      <w:r w:rsidRPr="00D277A4">
        <w:rPr>
          <w:color w:val="auto"/>
        </w:rPr>
        <w:t>el este tucumano.</w:t>
      </w:r>
    </w:p>
  </w:footnote>
  <w:footnote w:id="7">
    <w:p w14:paraId="3F748265" w14:textId="219E7457" w:rsidR="00B8358C" w:rsidRPr="009C1915" w:rsidRDefault="00B8358C" w:rsidP="009C1915">
      <w:pPr>
        <w:pStyle w:val="yiv5013309969msonormal"/>
        <w:shd w:val="clear" w:color="auto" w:fill="FFFFFF"/>
        <w:spacing w:before="0" w:beforeAutospacing="0" w:after="0" w:afterAutospacing="0"/>
        <w:jc w:val="both"/>
        <w:rPr>
          <w:sz w:val="20"/>
          <w:szCs w:val="20"/>
          <w:lang w:val="es-ES" w:eastAsia="es-ES"/>
        </w:rPr>
      </w:pPr>
      <w:r w:rsidRPr="007A1FB1">
        <w:rPr>
          <w:rStyle w:val="Refdenotaalpie"/>
          <w:sz w:val="18"/>
          <w:szCs w:val="18"/>
          <w:vertAlign w:val="baseline"/>
        </w:rPr>
        <w:footnoteRef/>
      </w:r>
      <w:r w:rsidRPr="00452966">
        <w:rPr>
          <w:sz w:val="18"/>
          <w:szCs w:val="18"/>
          <w:lang w:val="es-AR"/>
        </w:rPr>
        <w:t xml:space="preserve"> </w:t>
      </w:r>
      <w:r w:rsidRPr="007A1FB1">
        <w:rPr>
          <w:sz w:val="20"/>
          <w:szCs w:val="20"/>
          <w:lang w:val="es-ES" w:eastAsia="es-ES"/>
        </w:rPr>
        <w:t>Entre 1997 y 2008 en la pro</w:t>
      </w:r>
      <w:r>
        <w:rPr>
          <w:sz w:val="20"/>
          <w:szCs w:val="20"/>
          <w:lang w:val="es-ES" w:eastAsia="es-ES"/>
        </w:rPr>
        <w:t xml:space="preserve">vincia de Salta se desmontó el </w:t>
      </w:r>
      <w:r w:rsidRPr="007A1FB1">
        <w:rPr>
          <w:sz w:val="20"/>
          <w:szCs w:val="20"/>
          <w:lang w:val="es-ES" w:eastAsia="es-ES"/>
        </w:rPr>
        <w:t>26% del total de los bosques existentes (Paruelo et al., 2011).</w:t>
      </w:r>
      <w:r>
        <w:rPr>
          <w:sz w:val="20"/>
          <w:szCs w:val="20"/>
          <w:lang w:val="es-ES" w:eastAsia="es-ES"/>
        </w:rPr>
        <w:t xml:space="preserve"> </w:t>
      </w:r>
      <w:r w:rsidRPr="007A1FB1">
        <w:rPr>
          <w:sz w:val="20"/>
          <w:szCs w:val="20"/>
          <w:lang w:val="es-ES" w:eastAsia="es-ES"/>
        </w:rPr>
        <w:t xml:space="preserve">Desde la década del 1990 </w:t>
      </w:r>
      <w:r>
        <w:rPr>
          <w:sz w:val="20"/>
          <w:szCs w:val="20"/>
          <w:lang w:val="es-ES" w:eastAsia="es-ES"/>
        </w:rPr>
        <w:t xml:space="preserve">y </w:t>
      </w:r>
      <w:r w:rsidRPr="007A1FB1">
        <w:rPr>
          <w:sz w:val="20"/>
          <w:szCs w:val="20"/>
          <w:lang w:val="es-ES" w:eastAsia="es-ES"/>
        </w:rPr>
        <w:t>hasta el año 2008, en el área conocida como Umbral al Chaco</w:t>
      </w:r>
      <w:r>
        <w:rPr>
          <w:sz w:val="20"/>
          <w:szCs w:val="20"/>
          <w:lang w:val="es-ES" w:eastAsia="es-ES"/>
        </w:rPr>
        <w:t>,</w:t>
      </w:r>
      <w:r w:rsidRPr="007A1FB1">
        <w:rPr>
          <w:sz w:val="20"/>
          <w:szCs w:val="20"/>
          <w:lang w:val="es-ES" w:eastAsia="es-ES"/>
        </w:rPr>
        <w:t xml:space="preserve"> los desmontes alcanzaron una superficie total des</w:t>
      </w:r>
      <w:r>
        <w:rPr>
          <w:sz w:val="20"/>
          <w:szCs w:val="20"/>
          <w:lang w:val="es-ES" w:eastAsia="es-ES"/>
        </w:rPr>
        <w:t>montada</w:t>
      </w:r>
      <w:r w:rsidRPr="007A1FB1">
        <w:rPr>
          <w:sz w:val="20"/>
          <w:szCs w:val="20"/>
          <w:lang w:val="es-ES" w:eastAsia="es-ES"/>
        </w:rPr>
        <w:t xml:space="preserve"> de 1.525.683 (Ministerio de Desarrollo Sustentable de la Nación., 2017</w:t>
      </w:r>
      <w:r>
        <w:rPr>
          <w:sz w:val="20"/>
          <w:szCs w:val="20"/>
          <w:lang w:val="es-ES" w:eastAsia="es-ES"/>
        </w:rPr>
        <w:t xml:space="preserve">). Sobre este tema, </w:t>
      </w:r>
      <w:r w:rsidRPr="007A1FB1">
        <w:rPr>
          <w:sz w:val="20"/>
          <w:szCs w:val="20"/>
          <w:lang w:val="es-ES" w:eastAsia="es-ES"/>
        </w:rPr>
        <w:t xml:space="preserve">Álvarez Leguizamón </w:t>
      </w:r>
      <w:r>
        <w:rPr>
          <w:sz w:val="20"/>
          <w:szCs w:val="20"/>
          <w:lang w:val="es-ES" w:eastAsia="es-ES"/>
        </w:rPr>
        <w:t>(</w:t>
      </w:r>
      <w:r w:rsidRPr="007A1FB1">
        <w:rPr>
          <w:sz w:val="20"/>
          <w:szCs w:val="20"/>
          <w:lang w:val="es-ES" w:eastAsia="es-ES"/>
        </w:rPr>
        <w:t>2011:28</w:t>
      </w:r>
      <w:r>
        <w:rPr>
          <w:sz w:val="20"/>
          <w:szCs w:val="20"/>
          <w:lang w:val="es-ES" w:eastAsia="es-ES"/>
        </w:rPr>
        <w:t xml:space="preserve">), menciona lo siguiente: </w:t>
      </w:r>
      <w:r w:rsidRPr="007A1FB1">
        <w:rPr>
          <w:sz w:val="20"/>
          <w:szCs w:val="20"/>
          <w:lang w:val="es-ES" w:eastAsia="es-ES"/>
        </w:rPr>
        <w:t>“La propia Secretaría de Medioambiente y Desarrollo Sustentable de Salta (actual Secretaría de Política Ambiental) reconocía en 2006 (en el auge de los desmontes) que los departamentos más afectados por la deforestación eran: Anta, Orán, Rosario de la Frontera, San Martín y General Güemes (…) totalizando en los últimos 8 años una p</w:t>
      </w:r>
      <w:r w:rsidR="00182CDC">
        <w:rPr>
          <w:sz w:val="20"/>
          <w:szCs w:val="20"/>
          <w:lang w:val="es-ES" w:eastAsia="es-ES"/>
        </w:rPr>
        <w:t>érdida de 600.000 hectáreas de Selva pedemontana y B</w:t>
      </w:r>
      <w:r w:rsidRPr="007A1FB1">
        <w:rPr>
          <w:sz w:val="20"/>
          <w:szCs w:val="20"/>
          <w:lang w:val="es-ES" w:eastAsia="es-ES"/>
        </w:rPr>
        <w:t xml:space="preserve">osque chaqueño, con un alarmante incremento </w:t>
      </w:r>
      <w:r>
        <w:rPr>
          <w:sz w:val="20"/>
          <w:szCs w:val="20"/>
          <w:lang w:val="es-ES" w:eastAsia="es-ES"/>
        </w:rPr>
        <w:t>en la velocidad de la misma”.</w:t>
      </w:r>
    </w:p>
  </w:footnote>
  <w:footnote w:id="8">
    <w:p w14:paraId="73BB290A" w14:textId="73F41076" w:rsidR="00B8358C" w:rsidRPr="004C3527" w:rsidRDefault="00B8358C">
      <w:pPr>
        <w:pStyle w:val="Textonotapie"/>
        <w:rPr>
          <w:color w:val="auto"/>
        </w:rPr>
      </w:pPr>
      <w:r w:rsidRPr="004C3527">
        <w:rPr>
          <w:rStyle w:val="Refdenotaalpie"/>
          <w:color w:val="auto"/>
        </w:rPr>
        <w:footnoteRef/>
      </w:r>
      <w:r w:rsidRPr="004C3527">
        <w:rPr>
          <w:color w:val="auto"/>
        </w:rPr>
        <w:t xml:space="preserve"> Según declaraciones del </w:t>
      </w:r>
      <w:r>
        <w:rPr>
          <w:color w:val="auto"/>
        </w:rPr>
        <w:t>v</w:t>
      </w:r>
      <w:r w:rsidRPr="004C3527">
        <w:rPr>
          <w:color w:val="auto"/>
        </w:rPr>
        <w:t>icepresidente de la Sociedad Rural Salteña. Ignacio Lupión (Portal Agronoa del 07/04/2013).</w:t>
      </w:r>
    </w:p>
  </w:footnote>
  <w:footnote w:id="9">
    <w:p w14:paraId="6E22685B" w14:textId="77777777" w:rsidR="00B8358C" w:rsidRPr="004C3527" w:rsidRDefault="00B8358C">
      <w:pPr>
        <w:pStyle w:val="Textonotapie"/>
        <w:rPr>
          <w:color w:val="auto"/>
          <w:lang w:val="es-AR"/>
        </w:rPr>
      </w:pPr>
      <w:r w:rsidRPr="004C3527">
        <w:rPr>
          <w:rStyle w:val="Refdenotaalpie"/>
          <w:color w:val="auto"/>
        </w:rPr>
        <w:footnoteRef/>
      </w:r>
      <w:r w:rsidRPr="004C3527">
        <w:rPr>
          <w:color w:val="auto"/>
        </w:rPr>
        <w:t xml:space="preserve"> </w:t>
      </w:r>
      <w:r>
        <w:rPr>
          <w:color w:val="auto"/>
        </w:rPr>
        <w:t>Idem Ref. 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A5C"/>
    <w:multiLevelType w:val="hybridMultilevel"/>
    <w:tmpl w:val="221E2F9A"/>
    <w:lvl w:ilvl="0" w:tplc="3BA4761A">
      <w:start w:val="10"/>
      <w:numFmt w:val="bullet"/>
      <w:lvlText w:val="-"/>
      <w:lvlJc w:val="left"/>
      <w:pPr>
        <w:ind w:left="1080" w:hanging="360"/>
      </w:pPr>
      <w:rPr>
        <w:rFonts w:ascii="Times New Roman" w:eastAsiaTheme="minorHAnsi" w:hAnsi="Times New Roman"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15:restartNumberingAfterBreak="0">
    <w:nsid w:val="17F95FCF"/>
    <w:multiLevelType w:val="hybridMultilevel"/>
    <w:tmpl w:val="DC3EFA5E"/>
    <w:lvl w:ilvl="0" w:tplc="DF36A92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D644B0B"/>
    <w:multiLevelType w:val="hybridMultilevel"/>
    <w:tmpl w:val="3E4AF1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A9C55A7"/>
    <w:multiLevelType w:val="hybridMultilevel"/>
    <w:tmpl w:val="C81EDEAA"/>
    <w:lvl w:ilvl="0" w:tplc="0C0A0017">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 w15:restartNumberingAfterBreak="0">
    <w:nsid w:val="31B3546D"/>
    <w:multiLevelType w:val="multilevel"/>
    <w:tmpl w:val="43DCC59C"/>
    <w:lvl w:ilvl="0">
      <w:start w:val="1"/>
      <w:numFmt w:val="decimal"/>
      <w:lvlText w:val="%1."/>
      <w:lvlJc w:val="left"/>
      <w:pPr>
        <w:ind w:left="644" w:hanging="360"/>
      </w:pPr>
      <w:rPr>
        <w:vertAlign w:val="baseline"/>
      </w:rPr>
    </w:lvl>
    <w:lvl w:ilvl="1">
      <w:start w:val="1"/>
      <w:numFmt w:val="decimal"/>
      <w:lvlText w:val="%2."/>
      <w:lvlJc w:val="left"/>
      <w:pPr>
        <w:ind w:left="1364" w:hanging="360"/>
      </w:pPr>
      <w:rPr>
        <w:vertAlign w:val="baseline"/>
      </w:rPr>
    </w:lvl>
    <w:lvl w:ilvl="2">
      <w:start w:val="1"/>
      <w:numFmt w:val="decimal"/>
      <w:lvlText w:val="%3."/>
      <w:lvlJc w:val="left"/>
      <w:pPr>
        <w:ind w:left="2084" w:hanging="360"/>
      </w:pPr>
      <w:rPr>
        <w:vertAlign w:val="baseline"/>
      </w:rPr>
    </w:lvl>
    <w:lvl w:ilvl="3">
      <w:start w:val="1"/>
      <w:numFmt w:val="decimal"/>
      <w:lvlText w:val="%4."/>
      <w:lvlJc w:val="left"/>
      <w:pPr>
        <w:ind w:left="2804" w:hanging="360"/>
      </w:pPr>
      <w:rPr>
        <w:vertAlign w:val="baseline"/>
      </w:rPr>
    </w:lvl>
    <w:lvl w:ilvl="4">
      <w:start w:val="1"/>
      <w:numFmt w:val="decimal"/>
      <w:lvlText w:val="%5."/>
      <w:lvlJc w:val="left"/>
      <w:pPr>
        <w:ind w:left="3524" w:hanging="360"/>
      </w:pPr>
      <w:rPr>
        <w:vertAlign w:val="baseline"/>
      </w:rPr>
    </w:lvl>
    <w:lvl w:ilvl="5">
      <w:start w:val="1"/>
      <w:numFmt w:val="decimal"/>
      <w:lvlText w:val="%6."/>
      <w:lvlJc w:val="left"/>
      <w:pPr>
        <w:ind w:left="4244" w:hanging="360"/>
      </w:pPr>
      <w:rPr>
        <w:vertAlign w:val="baseline"/>
      </w:rPr>
    </w:lvl>
    <w:lvl w:ilvl="6">
      <w:start w:val="1"/>
      <w:numFmt w:val="decimal"/>
      <w:lvlText w:val="%7."/>
      <w:lvlJc w:val="left"/>
      <w:pPr>
        <w:ind w:left="4964" w:hanging="360"/>
      </w:pPr>
      <w:rPr>
        <w:vertAlign w:val="baseline"/>
      </w:rPr>
    </w:lvl>
    <w:lvl w:ilvl="7">
      <w:start w:val="1"/>
      <w:numFmt w:val="decimal"/>
      <w:lvlText w:val="%8."/>
      <w:lvlJc w:val="left"/>
      <w:pPr>
        <w:ind w:left="5684" w:hanging="360"/>
      </w:pPr>
      <w:rPr>
        <w:vertAlign w:val="baseline"/>
      </w:rPr>
    </w:lvl>
    <w:lvl w:ilvl="8">
      <w:start w:val="1"/>
      <w:numFmt w:val="decimal"/>
      <w:lvlText w:val="%9."/>
      <w:lvlJc w:val="left"/>
      <w:pPr>
        <w:ind w:left="6404" w:hanging="360"/>
      </w:pPr>
      <w:rPr>
        <w:vertAlign w:val="baseline"/>
      </w:rPr>
    </w:lvl>
  </w:abstractNum>
  <w:abstractNum w:abstractNumId="5" w15:restartNumberingAfterBreak="0">
    <w:nsid w:val="3FDF7D54"/>
    <w:multiLevelType w:val="multilevel"/>
    <w:tmpl w:val="AC26AE74"/>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 w15:restartNumberingAfterBreak="0">
    <w:nsid w:val="45A57BE3"/>
    <w:multiLevelType w:val="multilevel"/>
    <w:tmpl w:val="11FA02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D2B3270"/>
    <w:multiLevelType w:val="hybridMultilevel"/>
    <w:tmpl w:val="33827AF8"/>
    <w:lvl w:ilvl="0" w:tplc="CC1E2824">
      <w:start w:val="10"/>
      <w:numFmt w:val="bullet"/>
      <w:lvlText w:val=""/>
      <w:lvlJc w:val="left"/>
      <w:pPr>
        <w:ind w:left="720" w:hanging="360"/>
      </w:pPr>
      <w:rPr>
        <w:rFonts w:ascii="Symbol" w:eastAsiaTheme="minorHAns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2"/>
  </w:num>
  <w:num w:numId="7">
    <w:abstractNumId w:val="7"/>
  </w:num>
  <w:num w:numId="8">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sana Soverna">
    <w15:presenceInfo w15:providerId="Windows Live" w15:userId="62340d428e7abb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F5F"/>
    <w:rsid w:val="000012FF"/>
    <w:rsid w:val="0000178A"/>
    <w:rsid w:val="00003AC4"/>
    <w:rsid w:val="00004B20"/>
    <w:rsid w:val="00011E11"/>
    <w:rsid w:val="00015F8E"/>
    <w:rsid w:val="000248B8"/>
    <w:rsid w:val="00033B6C"/>
    <w:rsid w:val="00035D2C"/>
    <w:rsid w:val="00035E91"/>
    <w:rsid w:val="000408B9"/>
    <w:rsid w:val="00043956"/>
    <w:rsid w:val="000505D5"/>
    <w:rsid w:val="00062D01"/>
    <w:rsid w:val="00083BD1"/>
    <w:rsid w:val="00087E6B"/>
    <w:rsid w:val="000A156D"/>
    <w:rsid w:val="000B3F60"/>
    <w:rsid w:val="000D577E"/>
    <w:rsid w:val="000E259E"/>
    <w:rsid w:val="000E70A8"/>
    <w:rsid w:val="000F233A"/>
    <w:rsid w:val="0011293D"/>
    <w:rsid w:val="0012103C"/>
    <w:rsid w:val="0012645C"/>
    <w:rsid w:val="001362C6"/>
    <w:rsid w:val="00146AEA"/>
    <w:rsid w:val="00152F50"/>
    <w:rsid w:val="0015492F"/>
    <w:rsid w:val="001614C1"/>
    <w:rsid w:val="0017384A"/>
    <w:rsid w:val="00175352"/>
    <w:rsid w:val="00182CDC"/>
    <w:rsid w:val="00187B58"/>
    <w:rsid w:val="0019659F"/>
    <w:rsid w:val="001A2F5F"/>
    <w:rsid w:val="001B4373"/>
    <w:rsid w:val="001B590D"/>
    <w:rsid w:val="001C4AC3"/>
    <w:rsid w:val="001E1DBC"/>
    <w:rsid w:val="002015AD"/>
    <w:rsid w:val="00205AC4"/>
    <w:rsid w:val="00216D79"/>
    <w:rsid w:val="002230B5"/>
    <w:rsid w:val="002305AA"/>
    <w:rsid w:val="0023446D"/>
    <w:rsid w:val="00241D53"/>
    <w:rsid w:val="00261526"/>
    <w:rsid w:val="002672F2"/>
    <w:rsid w:val="00270240"/>
    <w:rsid w:val="00270C8F"/>
    <w:rsid w:val="002712DC"/>
    <w:rsid w:val="00282C26"/>
    <w:rsid w:val="00294E67"/>
    <w:rsid w:val="002950A9"/>
    <w:rsid w:val="002A0C65"/>
    <w:rsid w:val="002A47AD"/>
    <w:rsid w:val="002A68AD"/>
    <w:rsid w:val="002B17A7"/>
    <w:rsid w:val="002B7019"/>
    <w:rsid w:val="002B79C9"/>
    <w:rsid w:val="002C5880"/>
    <w:rsid w:val="002D3256"/>
    <w:rsid w:val="002D4488"/>
    <w:rsid w:val="002E1072"/>
    <w:rsid w:val="002E496D"/>
    <w:rsid w:val="002F716B"/>
    <w:rsid w:val="00303EEC"/>
    <w:rsid w:val="0030415A"/>
    <w:rsid w:val="0030472B"/>
    <w:rsid w:val="00306F82"/>
    <w:rsid w:val="0031270D"/>
    <w:rsid w:val="003139F5"/>
    <w:rsid w:val="00325A38"/>
    <w:rsid w:val="00331929"/>
    <w:rsid w:val="00336655"/>
    <w:rsid w:val="00343CE2"/>
    <w:rsid w:val="00346E9F"/>
    <w:rsid w:val="00360679"/>
    <w:rsid w:val="003619BF"/>
    <w:rsid w:val="00361DF3"/>
    <w:rsid w:val="00370284"/>
    <w:rsid w:val="0037466A"/>
    <w:rsid w:val="00377B0A"/>
    <w:rsid w:val="00382C05"/>
    <w:rsid w:val="003940C4"/>
    <w:rsid w:val="003969E3"/>
    <w:rsid w:val="003A44B1"/>
    <w:rsid w:val="003C492C"/>
    <w:rsid w:val="003D2F28"/>
    <w:rsid w:val="003E249B"/>
    <w:rsid w:val="003E411A"/>
    <w:rsid w:val="003F00EA"/>
    <w:rsid w:val="003F4AF1"/>
    <w:rsid w:val="00402E2A"/>
    <w:rsid w:val="00414240"/>
    <w:rsid w:val="00422A5E"/>
    <w:rsid w:val="004234E9"/>
    <w:rsid w:val="00440CB8"/>
    <w:rsid w:val="00446F03"/>
    <w:rsid w:val="0044705C"/>
    <w:rsid w:val="004477BC"/>
    <w:rsid w:val="00452966"/>
    <w:rsid w:val="00453493"/>
    <w:rsid w:val="0045624B"/>
    <w:rsid w:val="00460BF1"/>
    <w:rsid w:val="00462D1F"/>
    <w:rsid w:val="004911CD"/>
    <w:rsid w:val="004911D1"/>
    <w:rsid w:val="004A44F9"/>
    <w:rsid w:val="004A4D25"/>
    <w:rsid w:val="004C3527"/>
    <w:rsid w:val="004C5968"/>
    <w:rsid w:val="004D4071"/>
    <w:rsid w:val="004D541F"/>
    <w:rsid w:val="004E2566"/>
    <w:rsid w:val="004E3FB2"/>
    <w:rsid w:val="005033E2"/>
    <w:rsid w:val="005146DC"/>
    <w:rsid w:val="00533387"/>
    <w:rsid w:val="0053437B"/>
    <w:rsid w:val="00534E2E"/>
    <w:rsid w:val="00541FE0"/>
    <w:rsid w:val="005507D5"/>
    <w:rsid w:val="0055356C"/>
    <w:rsid w:val="00560633"/>
    <w:rsid w:val="005719B9"/>
    <w:rsid w:val="005A17E6"/>
    <w:rsid w:val="005B262E"/>
    <w:rsid w:val="005C151B"/>
    <w:rsid w:val="005C3380"/>
    <w:rsid w:val="005D5015"/>
    <w:rsid w:val="005E3037"/>
    <w:rsid w:val="005F409B"/>
    <w:rsid w:val="005F5DEB"/>
    <w:rsid w:val="00607131"/>
    <w:rsid w:val="00612B49"/>
    <w:rsid w:val="00616383"/>
    <w:rsid w:val="006272EB"/>
    <w:rsid w:val="00636975"/>
    <w:rsid w:val="00641016"/>
    <w:rsid w:val="0065697D"/>
    <w:rsid w:val="006640CC"/>
    <w:rsid w:val="00664231"/>
    <w:rsid w:val="00673CB3"/>
    <w:rsid w:val="006753FC"/>
    <w:rsid w:val="00675CAD"/>
    <w:rsid w:val="006803AD"/>
    <w:rsid w:val="006821C3"/>
    <w:rsid w:val="006873F9"/>
    <w:rsid w:val="006878CE"/>
    <w:rsid w:val="006A3DC4"/>
    <w:rsid w:val="006B7101"/>
    <w:rsid w:val="006C5F8E"/>
    <w:rsid w:val="006C666A"/>
    <w:rsid w:val="006D034E"/>
    <w:rsid w:val="006E2F4E"/>
    <w:rsid w:val="0070695E"/>
    <w:rsid w:val="00707F00"/>
    <w:rsid w:val="00710BD9"/>
    <w:rsid w:val="0071137A"/>
    <w:rsid w:val="0071483F"/>
    <w:rsid w:val="0072400F"/>
    <w:rsid w:val="007249E5"/>
    <w:rsid w:val="00737F25"/>
    <w:rsid w:val="00746C75"/>
    <w:rsid w:val="00753B91"/>
    <w:rsid w:val="00753CD5"/>
    <w:rsid w:val="0076310E"/>
    <w:rsid w:val="007707F8"/>
    <w:rsid w:val="00782D55"/>
    <w:rsid w:val="00795C9C"/>
    <w:rsid w:val="007A1FB1"/>
    <w:rsid w:val="007A4731"/>
    <w:rsid w:val="007A5F04"/>
    <w:rsid w:val="007A64C4"/>
    <w:rsid w:val="007C46B1"/>
    <w:rsid w:val="007D066D"/>
    <w:rsid w:val="007D117F"/>
    <w:rsid w:val="007D55C4"/>
    <w:rsid w:val="007D5A07"/>
    <w:rsid w:val="007E13F6"/>
    <w:rsid w:val="007E1861"/>
    <w:rsid w:val="007E19B6"/>
    <w:rsid w:val="007E7F9C"/>
    <w:rsid w:val="0080066B"/>
    <w:rsid w:val="00801FFD"/>
    <w:rsid w:val="00804902"/>
    <w:rsid w:val="0080717B"/>
    <w:rsid w:val="00807C89"/>
    <w:rsid w:val="008143A2"/>
    <w:rsid w:val="0081512F"/>
    <w:rsid w:val="008162B8"/>
    <w:rsid w:val="00820CC1"/>
    <w:rsid w:val="00835062"/>
    <w:rsid w:val="0084009B"/>
    <w:rsid w:val="00844786"/>
    <w:rsid w:val="00856B89"/>
    <w:rsid w:val="00857F4F"/>
    <w:rsid w:val="00861CDE"/>
    <w:rsid w:val="00862005"/>
    <w:rsid w:val="00891370"/>
    <w:rsid w:val="00892553"/>
    <w:rsid w:val="008A22DE"/>
    <w:rsid w:val="008B212F"/>
    <w:rsid w:val="008B35F2"/>
    <w:rsid w:val="008B4A3B"/>
    <w:rsid w:val="008B51D0"/>
    <w:rsid w:val="008C1C49"/>
    <w:rsid w:val="008C25DA"/>
    <w:rsid w:val="008C2FEE"/>
    <w:rsid w:val="008C703D"/>
    <w:rsid w:val="008C70F0"/>
    <w:rsid w:val="008D0E77"/>
    <w:rsid w:val="008D13C3"/>
    <w:rsid w:val="008D46A9"/>
    <w:rsid w:val="008E51CB"/>
    <w:rsid w:val="008F1A91"/>
    <w:rsid w:val="008F30B2"/>
    <w:rsid w:val="008F5968"/>
    <w:rsid w:val="00903C6E"/>
    <w:rsid w:val="00906E62"/>
    <w:rsid w:val="00910BE5"/>
    <w:rsid w:val="0091354C"/>
    <w:rsid w:val="00913AC8"/>
    <w:rsid w:val="00921D27"/>
    <w:rsid w:val="00927870"/>
    <w:rsid w:val="00931B88"/>
    <w:rsid w:val="009415F5"/>
    <w:rsid w:val="00957C29"/>
    <w:rsid w:val="00960441"/>
    <w:rsid w:val="00967FE7"/>
    <w:rsid w:val="00972BE1"/>
    <w:rsid w:val="009750E5"/>
    <w:rsid w:val="00983B36"/>
    <w:rsid w:val="00987DC2"/>
    <w:rsid w:val="009966C2"/>
    <w:rsid w:val="00996816"/>
    <w:rsid w:val="009A330D"/>
    <w:rsid w:val="009A6850"/>
    <w:rsid w:val="009B0A0A"/>
    <w:rsid w:val="009C1915"/>
    <w:rsid w:val="009C4293"/>
    <w:rsid w:val="009C7D7D"/>
    <w:rsid w:val="00A01E26"/>
    <w:rsid w:val="00A0265E"/>
    <w:rsid w:val="00A07A76"/>
    <w:rsid w:val="00A07F9D"/>
    <w:rsid w:val="00A1402B"/>
    <w:rsid w:val="00A249CA"/>
    <w:rsid w:val="00A2651F"/>
    <w:rsid w:val="00A5717E"/>
    <w:rsid w:val="00A61284"/>
    <w:rsid w:val="00A63796"/>
    <w:rsid w:val="00A76F28"/>
    <w:rsid w:val="00A83C8A"/>
    <w:rsid w:val="00A964D6"/>
    <w:rsid w:val="00AA27D1"/>
    <w:rsid w:val="00AA3474"/>
    <w:rsid w:val="00AB10AD"/>
    <w:rsid w:val="00AB39FD"/>
    <w:rsid w:val="00AB4AD8"/>
    <w:rsid w:val="00AB79DC"/>
    <w:rsid w:val="00AC03A4"/>
    <w:rsid w:val="00AC0523"/>
    <w:rsid w:val="00AC6FDC"/>
    <w:rsid w:val="00AD0195"/>
    <w:rsid w:val="00AD2795"/>
    <w:rsid w:val="00AD778A"/>
    <w:rsid w:val="00AE735A"/>
    <w:rsid w:val="00AF41C0"/>
    <w:rsid w:val="00AF4A1A"/>
    <w:rsid w:val="00B03554"/>
    <w:rsid w:val="00B06497"/>
    <w:rsid w:val="00B11E8F"/>
    <w:rsid w:val="00B13535"/>
    <w:rsid w:val="00B2730C"/>
    <w:rsid w:val="00B27807"/>
    <w:rsid w:val="00B454AD"/>
    <w:rsid w:val="00B55D33"/>
    <w:rsid w:val="00B66838"/>
    <w:rsid w:val="00B77441"/>
    <w:rsid w:val="00B802E8"/>
    <w:rsid w:val="00B8358C"/>
    <w:rsid w:val="00B92DAF"/>
    <w:rsid w:val="00BB6B79"/>
    <w:rsid w:val="00BC4A79"/>
    <w:rsid w:val="00BC507F"/>
    <w:rsid w:val="00BD33CD"/>
    <w:rsid w:val="00BD3B3D"/>
    <w:rsid w:val="00BD5C23"/>
    <w:rsid w:val="00BF5BA3"/>
    <w:rsid w:val="00C06869"/>
    <w:rsid w:val="00C150F3"/>
    <w:rsid w:val="00C16F66"/>
    <w:rsid w:val="00C26115"/>
    <w:rsid w:val="00C35918"/>
    <w:rsid w:val="00C42373"/>
    <w:rsid w:val="00C624CA"/>
    <w:rsid w:val="00C703AF"/>
    <w:rsid w:val="00C718BB"/>
    <w:rsid w:val="00C80BEA"/>
    <w:rsid w:val="00C96927"/>
    <w:rsid w:val="00CB0F49"/>
    <w:rsid w:val="00CC7EE2"/>
    <w:rsid w:val="00CD0613"/>
    <w:rsid w:val="00CD06EA"/>
    <w:rsid w:val="00CD1BEF"/>
    <w:rsid w:val="00CF00D5"/>
    <w:rsid w:val="00D0379A"/>
    <w:rsid w:val="00D051AE"/>
    <w:rsid w:val="00D06EF4"/>
    <w:rsid w:val="00D07A70"/>
    <w:rsid w:val="00D1250C"/>
    <w:rsid w:val="00D15226"/>
    <w:rsid w:val="00D17710"/>
    <w:rsid w:val="00D17C38"/>
    <w:rsid w:val="00D277A4"/>
    <w:rsid w:val="00D30DD9"/>
    <w:rsid w:val="00D36C83"/>
    <w:rsid w:val="00D47A4C"/>
    <w:rsid w:val="00D64897"/>
    <w:rsid w:val="00D673B2"/>
    <w:rsid w:val="00D85A3F"/>
    <w:rsid w:val="00D865EC"/>
    <w:rsid w:val="00D904CC"/>
    <w:rsid w:val="00DA304F"/>
    <w:rsid w:val="00DA6EC1"/>
    <w:rsid w:val="00DB7729"/>
    <w:rsid w:val="00DE171E"/>
    <w:rsid w:val="00DF05BE"/>
    <w:rsid w:val="00DF33CB"/>
    <w:rsid w:val="00DF7DEF"/>
    <w:rsid w:val="00E00D2D"/>
    <w:rsid w:val="00E03645"/>
    <w:rsid w:val="00E10718"/>
    <w:rsid w:val="00E165D3"/>
    <w:rsid w:val="00E2650A"/>
    <w:rsid w:val="00E26A96"/>
    <w:rsid w:val="00E32357"/>
    <w:rsid w:val="00E37D11"/>
    <w:rsid w:val="00E42129"/>
    <w:rsid w:val="00E6500A"/>
    <w:rsid w:val="00E72243"/>
    <w:rsid w:val="00E76E8C"/>
    <w:rsid w:val="00E82407"/>
    <w:rsid w:val="00EA0482"/>
    <w:rsid w:val="00EA0793"/>
    <w:rsid w:val="00EA6AB1"/>
    <w:rsid w:val="00EB615A"/>
    <w:rsid w:val="00EC5E68"/>
    <w:rsid w:val="00ED724A"/>
    <w:rsid w:val="00EE41EB"/>
    <w:rsid w:val="00EE5582"/>
    <w:rsid w:val="00EE6A2B"/>
    <w:rsid w:val="00EF181B"/>
    <w:rsid w:val="00EF26CA"/>
    <w:rsid w:val="00EF35A6"/>
    <w:rsid w:val="00EF59E9"/>
    <w:rsid w:val="00F0297A"/>
    <w:rsid w:val="00F03288"/>
    <w:rsid w:val="00F32680"/>
    <w:rsid w:val="00F41B48"/>
    <w:rsid w:val="00F50CFC"/>
    <w:rsid w:val="00F522C6"/>
    <w:rsid w:val="00F5363F"/>
    <w:rsid w:val="00F54F8D"/>
    <w:rsid w:val="00F5560E"/>
    <w:rsid w:val="00F55CD3"/>
    <w:rsid w:val="00F576B4"/>
    <w:rsid w:val="00F602F8"/>
    <w:rsid w:val="00F6197D"/>
    <w:rsid w:val="00F61B72"/>
    <w:rsid w:val="00F627D8"/>
    <w:rsid w:val="00F7305A"/>
    <w:rsid w:val="00F77EB3"/>
    <w:rsid w:val="00F82187"/>
    <w:rsid w:val="00F830BF"/>
    <w:rsid w:val="00F83E0D"/>
    <w:rsid w:val="00F8611E"/>
    <w:rsid w:val="00F95714"/>
    <w:rsid w:val="00F97BFF"/>
    <w:rsid w:val="00FA35A4"/>
    <w:rsid w:val="00FB3FD2"/>
    <w:rsid w:val="00FC2390"/>
    <w:rsid w:val="00FC508F"/>
    <w:rsid w:val="00FC6D81"/>
    <w:rsid w:val="00FD71DB"/>
    <w:rsid w:val="00FF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76974"/>
  <w15:chartTrackingRefBased/>
  <w15:docId w15:val="{7027C61B-D492-4A50-9EAA-30B7ADCC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A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46C75"/>
    <w:pPr>
      <w:ind w:left="720"/>
      <w:contextualSpacing/>
    </w:pPr>
    <w:rPr>
      <w:lang w:val="es-ES"/>
    </w:rPr>
  </w:style>
  <w:style w:type="paragraph" w:styleId="Textonotapie">
    <w:name w:val="footnote text"/>
    <w:basedOn w:val="Normal"/>
    <w:link w:val="TextonotapieCar"/>
    <w:semiHidden/>
    <w:unhideWhenUsed/>
    <w:rsid w:val="00EF26CA"/>
    <w:pPr>
      <w:spacing w:after="0" w:line="240" w:lineRule="auto"/>
    </w:pPr>
    <w:rPr>
      <w:rFonts w:ascii="Times New Roman" w:eastAsia="Times New Roman" w:hAnsi="Times New Roman" w:cs="Times New Roman"/>
      <w:color w:val="003366"/>
      <w:sz w:val="20"/>
      <w:szCs w:val="20"/>
      <w:lang w:val="es-ES" w:eastAsia="es-ES"/>
    </w:rPr>
  </w:style>
  <w:style w:type="character" w:customStyle="1" w:styleId="TextonotapieCar">
    <w:name w:val="Texto nota pie Car"/>
    <w:basedOn w:val="Fuentedeprrafopredeter"/>
    <w:link w:val="Textonotapie"/>
    <w:semiHidden/>
    <w:rsid w:val="00EF26CA"/>
    <w:rPr>
      <w:rFonts w:ascii="Times New Roman" w:eastAsia="Times New Roman" w:hAnsi="Times New Roman" w:cs="Times New Roman"/>
      <w:color w:val="003366"/>
      <w:sz w:val="20"/>
      <w:szCs w:val="20"/>
      <w:lang w:val="es-ES" w:eastAsia="es-ES"/>
    </w:rPr>
  </w:style>
  <w:style w:type="character" w:styleId="Refdenotaalpie">
    <w:name w:val="footnote reference"/>
    <w:semiHidden/>
    <w:unhideWhenUsed/>
    <w:rsid w:val="00EF26CA"/>
    <w:rPr>
      <w:vertAlign w:val="superscript"/>
    </w:rPr>
  </w:style>
  <w:style w:type="paragraph" w:styleId="Textonotaalfinal">
    <w:name w:val="endnote text"/>
    <w:basedOn w:val="Normal"/>
    <w:link w:val="TextonotaalfinalCar"/>
    <w:uiPriority w:val="99"/>
    <w:semiHidden/>
    <w:unhideWhenUsed/>
    <w:rsid w:val="00A5717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5717E"/>
    <w:rPr>
      <w:sz w:val="20"/>
      <w:szCs w:val="20"/>
    </w:rPr>
  </w:style>
  <w:style w:type="character" w:styleId="Refdenotaalfinal">
    <w:name w:val="endnote reference"/>
    <w:basedOn w:val="Fuentedeprrafopredeter"/>
    <w:uiPriority w:val="99"/>
    <w:semiHidden/>
    <w:unhideWhenUsed/>
    <w:rsid w:val="00A5717E"/>
    <w:rPr>
      <w:vertAlign w:val="superscript"/>
    </w:rPr>
  </w:style>
  <w:style w:type="table" w:styleId="Listamedia2-nfasis1">
    <w:name w:val="Medium List 2 Accent 1"/>
    <w:basedOn w:val="Tablanormal"/>
    <w:uiPriority w:val="66"/>
    <w:rsid w:val="00D47A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semiHidden/>
    <w:unhideWhenUsed/>
    <w:rsid w:val="00F41B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1402B"/>
    <w:pPr>
      <w:autoSpaceDE w:val="0"/>
      <w:autoSpaceDN w:val="0"/>
      <w:adjustRightInd w:val="0"/>
      <w:spacing w:after="0" w:line="240" w:lineRule="auto"/>
    </w:pPr>
    <w:rPr>
      <w:rFonts w:ascii="Myriad Pro Cond" w:hAnsi="Myriad Pro Cond" w:cs="Myriad Pro Cond"/>
      <w:color w:val="000000"/>
      <w:sz w:val="24"/>
      <w:szCs w:val="24"/>
    </w:rPr>
  </w:style>
  <w:style w:type="paragraph" w:styleId="Encabezado">
    <w:name w:val="header"/>
    <w:basedOn w:val="Normal"/>
    <w:link w:val="EncabezadoCar"/>
    <w:uiPriority w:val="99"/>
    <w:unhideWhenUsed/>
    <w:rsid w:val="005507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07D5"/>
  </w:style>
  <w:style w:type="paragraph" w:styleId="Piedepgina">
    <w:name w:val="footer"/>
    <w:basedOn w:val="Normal"/>
    <w:link w:val="PiedepginaCar"/>
    <w:uiPriority w:val="99"/>
    <w:unhideWhenUsed/>
    <w:rsid w:val="005507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07D5"/>
  </w:style>
  <w:style w:type="paragraph" w:customStyle="1" w:styleId="yiv5013309969msonormal">
    <w:name w:val="yiv5013309969msonormal"/>
    <w:basedOn w:val="Normal"/>
    <w:rsid w:val="00795C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87562442msonormal">
    <w:name w:val="yiv3487562442msonormal"/>
    <w:basedOn w:val="Normal"/>
    <w:rsid w:val="00282C26"/>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2B17A7"/>
    <w:rPr>
      <w:sz w:val="16"/>
      <w:szCs w:val="16"/>
    </w:rPr>
  </w:style>
  <w:style w:type="paragraph" w:styleId="Textocomentario">
    <w:name w:val="annotation text"/>
    <w:basedOn w:val="Normal"/>
    <w:link w:val="TextocomentarioCar"/>
    <w:uiPriority w:val="99"/>
    <w:semiHidden/>
    <w:unhideWhenUsed/>
    <w:rsid w:val="002B17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B17A7"/>
    <w:rPr>
      <w:sz w:val="20"/>
      <w:szCs w:val="20"/>
    </w:rPr>
  </w:style>
  <w:style w:type="paragraph" w:styleId="Asuntodelcomentario">
    <w:name w:val="annotation subject"/>
    <w:basedOn w:val="Textocomentario"/>
    <w:next w:val="Textocomentario"/>
    <w:link w:val="AsuntodelcomentarioCar"/>
    <w:uiPriority w:val="99"/>
    <w:semiHidden/>
    <w:unhideWhenUsed/>
    <w:rsid w:val="002B17A7"/>
    <w:rPr>
      <w:b/>
      <w:bCs/>
    </w:rPr>
  </w:style>
  <w:style w:type="character" w:customStyle="1" w:styleId="AsuntodelcomentarioCar">
    <w:name w:val="Asunto del comentario Car"/>
    <w:basedOn w:val="TextocomentarioCar"/>
    <w:link w:val="Asuntodelcomentario"/>
    <w:uiPriority w:val="99"/>
    <w:semiHidden/>
    <w:rsid w:val="002B17A7"/>
    <w:rPr>
      <w:b/>
      <w:bCs/>
      <w:sz w:val="20"/>
      <w:szCs w:val="20"/>
    </w:rPr>
  </w:style>
  <w:style w:type="paragraph" w:styleId="Textodeglobo">
    <w:name w:val="Balloon Text"/>
    <w:basedOn w:val="Normal"/>
    <w:link w:val="TextodegloboCar"/>
    <w:uiPriority w:val="99"/>
    <w:semiHidden/>
    <w:unhideWhenUsed/>
    <w:rsid w:val="002B17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17A7"/>
    <w:rPr>
      <w:rFonts w:ascii="Segoe UI" w:hAnsi="Segoe UI" w:cs="Segoe UI"/>
      <w:sz w:val="18"/>
      <w:szCs w:val="18"/>
    </w:rPr>
  </w:style>
  <w:style w:type="paragraph" w:styleId="Revisin">
    <w:name w:val="Revision"/>
    <w:hidden/>
    <w:uiPriority w:val="99"/>
    <w:semiHidden/>
    <w:rsid w:val="006803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922391">
      <w:bodyDiv w:val="1"/>
      <w:marLeft w:val="0"/>
      <w:marRight w:val="0"/>
      <w:marTop w:val="0"/>
      <w:marBottom w:val="0"/>
      <w:divBdr>
        <w:top w:val="none" w:sz="0" w:space="0" w:color="auto"/>
        <w:left w:val="none" w:sz="0" w:space="0" w:color="auto"/>
        <w:bottom w:val="none" w:sz="0" w:space="0" w:color="auto"/>
        <w:right w:val="none" w:sz="0" w:space="0" w:color="auto"/>
      </w:divBdr>
    </w:div>
    <w:div w:id="647320424">
      <w:bodyDiv w:val="1"/>
      <w:marLeft w:val="0"/>
      <w:marRight w:val="0"/>
      <w:marTop w:val="0"/>
      <w:marBottom w:val="0"/>
      <w:divBdr>
        <w:top w:val="none" w:sz="0" w:space="0" w:color="auto"/>
        <w:left w:val="none" w:sz="0" w:space="0" w:color="auto"/>
        <w:bottom w:val="none" w:sz="0" w:space="0" w:color="auto"/>
        <w:right w:val="none" w:sz="0" w:space="0" w:color="auto"/>
      </w:divBdr>
      <w:divsChild>
        <w:div w:id="344090564">
          <w:marLeft w:val="0"/>
          <w:marRight w:val="0"/>
          <w:marTop w:val="0"/>
          <w:marBottom w:val="0"/>
          <w:divBdr>
            <w:top w:val="none" w:sz="0" w:space="0" w:color="auto"/>
            <w:left w:val="none" w:sz="0" w:space="0" w:color="auto"/>
            <w:bottom w:val="none" w:sz="0" w:space="0" w:color="auto"/>
            <w:right w:val="none" w:sz="0" w:space="0" w:color="auto"/>
          </w:divBdr>
          <w:divsChild>
            <w:div w:id="375668961">
              <w:marLeft w:val="0"/>
              <w:marRight w:val="0"/>
              <w:marTop w:val="0"/>
              <w:marBottom w:val="0"/>
              <w:divBdr>
                <w:top w:val="none" w:sz="0" w:space="0" w:color="auto"/>
                <w:left w:val="none" w:sz="0" w:space="0" w:color="auto"/>
                <w:bottom w:val="none" w:sz="0" w:space="0" w:color="auto"/>
                <w:right w:val="none" w:sz="0" w:space="0" w:color="auto"/>
              </w:divBdr>
              <w:divsChild>
                <w:div w:id="1021854385">
                  <w:marLeft w:val="0"/>
                  <w:marRight w:val="0"/>
                  <w:marTop w:val="0"/>
                  <w:marBottom w:val="0"/>
                  <w:divBdr>
                    <w:top w:val="none" w:sz="0" w:space="0" w:color="auto"/>
                    <w:left w:val="none" w:sz="0" w:space="0" w:color="auto"/>
                    <w:bottom w:val="none" w:sz="0" w:space="0" w:color="auto"/>
                    <w:right w:val="none" w:sz="0" w:space="0" w:color="auto"/>
                  </w:divBdr>
                  <w:divsChild>
                    <w:div w:id="790780382">
                      <w:marLeft w:val="0"/>
                      <w:marRight w:val="0"/>
                      <w:marTop w:val="0"/>
                      <w:marBottom w:val="0"/>
                      <w:divBdr>
                        <w:top w:val="none" w:sz="0" w:space="0" w:color="auto"/>
                        <w:left w:val="none" w:sz="0" w:space="0" w:color="auto"/>
                        <w:bottom w:val="none" w:sz="0" w:space="0" w:color="auto"/>
                        <w:right w:val="none" w:sz="0" w:space="0" w:color="auto"/>
                      </w:divBdr>
                      <w:divsChild>
                        <w:div w:id="271210547">
                          <w:marLeft w:val="0"/>
                          <w:marRight w:val="0"/>
                          <w:marTop w:val="0"/>
                          <w:marBottom w:val="0"/>
                          <w:divBdr>
                            <w:top w:val="none" w:sz="0" w:space="0" w:color="auto"/>
                            <w:left w:val="single" w:sz="6" w:space="6" w:color="CCCCCC"/>
                            <w:bottom w:val="none" w:sz="0" w:space="0" w:color="auto"/>
                            <w:right w:val="none" w:sz="0" w:space="0" w:color="auto"/>
                          </w:divBdr>
                          <w:divsChild>
                            <w:div w:id="19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31180">
      <w:bodyDiv w:val="1"/>
      <w:marLeft w:val="0"/>
      <w:marRight w:val="0"/>
      <w:marTop w:val="0"/>
      <w:marBottom w:val="0"/>
      <w:divBdr>
        <w:top w:val="none" w:sz="0" w:space="0" w:color="auto"/>
        <w:left w:val="none" w:sz="0" w:space="0" w:color="auto"/>
        <w:bottom w:val="none" w:sz="0" w:space="0" w:color="auto"/>
        <w:right w:val="none" w:sz="0" w:space="0" w:color="auto"/>
      </w:divBdr>
    </w:div>
    <w:div w:id="1160468615">
      <w:bodyDiv w:val="1"/>
      <w:marLeft w:val="0"/>
      <w:marRight w:val="0"/>
      <w:marTop w:val="0"/>
      <w:marBottom w:val="0"/>
      <w:divBdr>
        <w:top w:val="none" w:sz="0" w:space="0" w:color="auto"/>
        <w:left w:val="none" w:sz="0" w:space="0" w:color="auto"/>
        <w:bottom w:val="none" w:sz="0" w:space="0" w:color="auto"/>
        <w:right w:val="none" w:sz="0" w:space="0" w:color="auto"/>
      </w:divBdr>
    </w:div>
    <w:div w:id="1269852506">
      <w:bodyDiv w:val="1"/>
      <w:marLeft w:val="0"/>
      <w:marRight w:val="0"/>
      <w:marTop w:val="0"/>
      <w:marBottom w:val="0"/>
      <w:divBdr>
        <w:top w:val="none" w:sz="0" w:space="0" w:color="auto"/>
        <w:left w:val="none" w:sz="0" w:space="0" w:color="auto"/>
        <w:bottom w:val="none" w:sz="0" w:space="0" w:color="auto"/>
        <w:right w:val="none" w:sz="0" w:space="0" w:color="auto"/>
      </w:divBdr>
    </w:div>
    <w:div w:id="1324894268">
      <w:bodyDiv w:val="1"/>
      <w:marLeft w:val="0"/>
      <w:marRight w:val="0"/>
      <w:marTop w:val="0"/>
      <w:marBottom w:val="0"/>
      <w:divBdr>
        <w:top w:val="none" w:sz="0" w:space="0" w:color="auto"/>
        <w:left w:val="none" w:sz="0" w:space="0" w:color="auto"/>
        <w:bottom w:val="none" w:sz="0" w:space="0" w:color="auto"/>
        <w:right w:val="none" w:sz="0" w:space="0" w:color="auto"/>
      </w:divBdr>
    </w:div>
    <w:div w:id="1595673628">
      <w:bodyDiv w:val="1"/>
      <w:marLeft w:val="0"/>
      <w:marRight w:val="0"/>
      <w:marTop w:val="0"/>
      <w:marBottom w:val="0"/>
      <w:divBdr>
        <w:top w:val="none" w:sz="0" w:space="0" w:color="auto"/>
        <w:left w:val="none" w:sz="0" w:space="0" w:color="auto"/>
        <w:bottom w:val="none" w:sz="0" w:space="0" w:color="auto"/>
        <w:right w:val="none" w:sz="0" w:space="0" w:color="auto"/>
      </w:divBdr>
    </w:div>
    <w:div w:id="1644235035">
      <w:bodyDiv w:val="1"/>
      <w:marLeft w:val="0"/>
      <w:marRight w:val="0"/>
      <w:marTop w:val="0"/>
      <w:marBottom w:val="0"/>
      <w:divBdr>
        <w:top w:val="none" w:sz="0" w:space="0" w:color="auto"/>
        <w:left w:val="none" w:sz="0" w:space="0" w:color="auto"/>
        <w:bottom w:val="none" w:sz="0" w:space="0" w:color="auto"/>
        <w:right w:val="none" w:sz="0" w:space="0" w:color="auto"/>
      </w:divBdr>
    </w:div>
    <w:div w:id="180342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chart" Target="charts/chart2.xml"/><Relationship Id="rId14" Type="http://schemas.microsoft.com/office/2011/relationships/people" Target="peop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Hoja_de_c_lculo_de_Microsoft_Excel.xlsx"/></Relationships>
</file>

<file path=word/charts/_rels/chart2.xml.rels><?xml version="1.0" encoding="UTF-8" standalone="yes"?>
<Relationships xmlns="http://schemas.openxmlformats.org/package/2006/relationships"><Relationship Id="rId3" Type="http://schemas.openxmlformats.org/officeDocument/2006/relationships/oleObject" Target="file:///E:\Documents\censo%20agropecuario\Cuadros%20excel.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latin typeface="Times New Roman" panose="02020603050405020304" pitchFamily="18" charset="0"/>
                <a:cs typeface="Times New Roman" panose="02020603050405020304" pitchFamily="18" charset="0"/>
              </a:rPr>
              <a:t>Gráfico 1: Cantidad</a:t>
            </a:r>
            <a:r>
              <a:rPr lang="en-US" sz="1200" b="1" baseline="0">
                <a:latin typeface="Times New Roman" panose="02020603050405020304" pitchFamily="18" charset="0"/>
                <a:cs typeface="Times New Roman" panose="02020603050405020304" pitchFamily="18" charset="0"/>
              </a:rPr>
              <a:t> de EAPS (%), según tamaño de las explotaciones</a:t>
            </a:r>
            <a:endParaRPr lang="en-US" sz="1200" b="1">
              <a:latin typeface="Times New Roman" panose="02020603050405020304" pitchFamily="18" charset="0"/>
              <a:cs typeface="Times New Roman" panose="02020603050405020304" pitchFamily="18" charset="0"/>
            </a:endParaRPr>
          </a:p>
        </c:rich>
      </c:tx>
      <c:layout>
        <c:manualLayout>
          <c:xMode val="edge"/>
          <c:yMode val="edge"/>
          <c:x val="6.6380338821283705E-2"/>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5469816272965877E-2"/>
          <c:y val="0.12976470588235295"/>
          <c:w val="0.90286351706036749"/>
          <c:h val="0.53352941176470592"/>
        </c:manualLayout>
      </c:layout>
      <c:barChart>
        <c:barDir val="col"/>
        <c:grouping val="clustered"/>
        <c:varyColors val="0"/>
        <c:ser>
          <c:idx val="0"/>
          <c:order val="0"/>
          <c:tx>
            <c:strRef>
              <c:f>Hoja1!$G$83</c:f>
              <c:strCache>
                <c:ptCount val="1"/>
                <c:pt idx="0">
                  <c:v>AÑO 2002</c:v>
                </c:pt>
              </c:strCache>
            </c:strRef>
          </c:tx>
          <c:spPr>
            <a:solidFill>
              <a:schemeClr val="accent1"/>
            </a:solidFill>
            <a:ln>
              <a:noFill/>
            </a:ln>
            <a:effectLst/>
          </c:spPr>
          <c:invertIfNegative val="0"/>
          <c:cat>
            <c:strRef>
              <c:f>Hoja1!$F$84:$F$97</c:f>
              <c:strCache>
                <c:ptCount val="14"/>
                <c:pt idx="0">
                  <c:v>Hasta 5</c:v>
                </c:pt>
                <c:pt idx="1">
                  <c:v>5,1-10</c:v>
                </c:pt>
                <c:pt idx="2">
                  <c:v>10,1-25</c:v>
                </c:pt>
                <c:pt idx="3">
                  <c:v>25,1-50</c:v>
                </c:pt>
                <c:pt idx="4">
                  <c:v>50,1-100</c:v>
                </c:pt>
                <c:pt idx="5">
                  <c:v>100,1-200</c:v>
                </c:pt>
                <c:pt idx="6">
                  <c:v>200,1-500</c:v>
                </c:pt>
                <c:pt idx="7">
                  <c:v>500,1-1000</c:v>
                </c:pt>
                <c:pt idx="8">
                  <c:v>1000,1-2500</c:v>
                </c:pt>
                <c:pt idx="9">
                  <c:v>2500,1-5000</c:v>
                </c:pt>
                <c:pt idx="10">
                  <c:v>5000,1-7500</c:v>
                </c:pt>
                <c:pt idx="11">
                  <c:v>7500,1-10000</c:v>
                </c:pt>
                <c:pt idx="12">
                  <c:v>10000,1-20000</c:v>
                </c:pt>
                <c:pt idx="13">
                  <c:v>20000, 1-Mas</c:v>
                </c:pt>
              </c:strCache>
            </c:strRef>
          </c:cat>
          <c:val>
            <c:numRef>
              <c:f>Hoja1!$G$84:$G$97</c:f>
              <c:numCache>
                <c:formatCode>General</c:formatCode>
                <c:ptCount val="14"/>
                <c:pt idx="0">
                  <c:v>38</c:v>
                </c:pt>
                <c:pt idx="1">
                  <c:v>9.92</c:v>
                </c:pt>
                <c:pt idx="2">
                  <c:v>9.0399999999999991</c:v>
                </c:pt>
                <c:pt idx="3">
                  <c:v>6.08</c:v>
                </c:pt>
                <c:pt idx="4">
                  <c:v>5.72</c:v>
                </c:pt>
                <c:pt idx="5">
                  <c:v>5.27</c:v>
                </c:pt>
                <c:pt idx="6">
                  <c:v>8.1999999999999993</c:v>
                </c:pt>
                <c:pt idx="7">
                  <c:v>6.21</c:v>
                </c:pt>
                <c:pt idx="8">
                  <c:v>5.79</c:v>
                </c:pt>
                <c:pt idx="9">
                  <c:v>2.62</c:v>
                </c:pt>
                <c:pt idx="10">
                  <c:v>1.18</c:v>
                </c:pt>
                <c:pt idx="11">
                  <c:v>0.61</c:v>
                </c:pt>
                <c:pt idx="12">
                  <c:v>0.77</c:v>
                </c:pt>
                <c:pt idx="13">
                  <c:v>0.56999999999999995</c:v>
                </c:pt>
              </c:numCache>
            </c:numRef>
          </c:val>
          <c:extLst>
            <c:ext xmlns:c16="http://schemas.microsoft.com/office/drawing/2014/chart" uri="{C3380CC4-5D6E-409C-BE32-E72D297353CC}">
              <c16:uniqueId val="{00000000-04B6-4557-8329-7E6ACA7AFDF7}"/>
            </c:ext>
          </c:extLst>
        </c:ser>
        <c:ser>
          <c:idx val="1"/>
          <c:order val="1"/>
          <c:tx>
            <c:strRef>
              <c:f>Hoja1!$H$83</c:f>
              <c:strCache>
                <c:ptCount val="1"/>
                <c:pt idx="0">
                  <c:v>AÑO 2018</c:v>
                </c:pt>
              </c:strCache>
            </c:strRef>
          </c:tx>
          <c:spPr>
            <a:solidFill>
              <a:schemeClr val="accent2"/>
            </a:solidFill>
            <a:ln>
              <a:noFill/>
            </a:ln>
            <a:effectLst/>
          </c:spPr>
          <c:invertIfNegative val="0"/>
          <c:cat>
            <c:strRef>
              <c:f>Hoja1!$F$84:$F$97</c:f>
              <c:strCache>
                <c:ptCount val="14"/>
                <c:pt idx="0">
                  <c:v>Hasta 5</c:v>
                </c:pt>
                <c:pt idx="1">
                  <c:v>5,1-10</c:v>
                </c:pt>
                <c:pt idx="2">
                  <c:v>10,1-25</c:v>
                </c:pt>
                <c:pt idx="3">
                  <c:v>25,1-50</c:v>
                </c:pt>
                <c:pt idx="4">
                  <c:v>50,1-100</c:v>
                </c:pt>
                <c:pt idx="5">
                  <c:v>100,1-200</c:v>
                </c:pt>
                <c:pt idx="6">
                  <c:v>200,1-500</c:v>
                </c:pt>
                <c:pt idx="7">
                  <c:v>500,1-1000</c:v>
                </c:pt>
                <c:pt idx="8">
                  <c:v>1000,1-2500</c:v>
                </c:pt>
                <c:pt idx="9">
                  <c:v>2500,1-5000</c:v>
                </c:pt>
                <c:pt idx="10">
                  <c:v>5000,1-7500</c:v>
                </c:pt>
                <c:pt idx="11">
                  <c:v>7500,1-10000</c:v>
                </c:pt>
                <c:pt idx="12">
                  <c:v>10000,1-20000</c:v>
                </c:pt>
                <c:pt idx="13">
                  <c:v>20000, 1-Mas</c:v>
                </c:pt>
              </c:strCache>
            </c:strRef>
          </c:cat>
          <c:val>
            <c:numRef>
              <c:f>Hoja1!$H$84:$H$97</c:f>
              <c:numCache>
                <c:formatCode>0.00</c:formatCode>
                <c:ptCount val="14"/>
                <c:pt idx="0">
                  <c:v>39.15</c:v>
                </c:pt>
                <c:pt idx="1">
                  <c:v>10.77</c:v>
                </c:pt>
                <c:pt idx="2">
                  <c:v>9.0500000000000007</c:v>
                </c:pt>
                <c:pt idx="3">
                  <c:v>5.31</c:v>
                </c:pt>
                <c:pt idx="4">
                  <c:v>4.47</c:v>
                </c:pt>
                <c:pt idx="5">
                  <c:v>4.18</c:v>
                </c:pt>
                <c:pt idx="6">
                  <c:v>9.07</c:v>
                </c:pt>
                <c:pt idx="7">
                  <c:v>6.91</c:v>
                </c:pt>
                <c:pt idx="8">
                  <c:v>6.35</c:v>
                </c:pt>
                <c:pt idx="9">
                  <c:v>2.25</c:v>
                </c:pt>
                <c:pt idx="10">
                  <c:v>0</c:v>
                </c:pt>
                <c:pt idx="11">
                  <c:v>0.46</c:v>
                </c:pt>
                <c:pt idx="12">
                  <c:v>0.6</c:v>
                </c:pt>
                <c:pt idx="13">
                  <c:v>0.6</c:v>
                </c:pt>
              </c:numCache>
            </c:numRef>
          </c:val>
          <c:extLst>
            <c:ext xmlns:c16="http://schemas.microsoft.com/office/drawing/2014/chart" uri="{C3380CC4-5D6E-409C-BE32-E72D297353CC}">
              <c16:uniqueId val="{00000001-04B6-4557-8329-7E6ACA7AFDF7}"/>
            </c:ext>
          </c:extLst>
        </c:ser>
        <c:dLbls>
          <c:showLegendKey val="0"/>
          <c:showVal val="0"/>
          <c:showCatName val="0"/>
          <c:showSerName val="0"/>
          <c:showPercent val="0"/>
          <c:showBubbleSize val="0"/>
        </c:dLbls>
        <c:gapWidth val="219"/>
        <c:overlap val="-27"/>
        <c:axId val="34905071"/>
        <c:axId val="34896751"/>
      </c:barChart>
      <c:catAx>
        <c:axId val="349050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96751"/>
        <c:crosses val="autoZero"/>
        <c:auto val="1"/>
        <c:lblAlgn val="ctr"/>
        <c:lblOffset val="100"/>
        <c:noMultiLvlLbl val="0"/>
      </c:catAx>
      <c:valAx>
        <c:axId val="348967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9050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latin typeface="Times New Roman" panose="02020603050405020304" pitchFamily="18" charset="0"/>
                <a:cs typeface="Times New Roman" panose="02020603050405020304" pitchFamily="18" charset="0"/>
              </a:rPr>
              <a:t>Gráfico 2: Superficie</a:t>
            </a:r>
            <a:r>
              <a:rPr lang="en-US" sz="1100" b="1" baseline="0">
                <a:latin typeface="Times New Roman" panose="02020603050405020304" pitchFamily="18" charset="0"/>
                <a:cs typeface="Times New Roman" panose="02020603050405020304" pitchFamily="18" charset="0"/>
              </a:rPr>
              <a:t> de las EAPS (%), según tamaño de las explotaciones</a:t>
            </a:r>
            <a:endParaRPr lang="en-US" sz="1100" b="1">
              <a:latin typeface="Times New Roman" panose="02020603050405020304" pitchFamily="18" charset="0"/>
              <a:cs typeface="Times New Roman" panose="02020603050405020304" pitchFamily="18" charset="0"/>
            </a:endParaRPr>
          </a:p>
        </c:rich>
      </c:tx>
      <c:layout>
        <c:manualLayout>
          <c:xMode val="edge"/>
          <c:yMode val="edge"/>
          <c:x val="0.14658498981333626"/>
          <c:y val="3.092783505154639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Hoja1!$G$128:$G$129</c:f>
              <c:strCache>
                <c:ptCount val="2"/>
                <c:pt idx="1">
                  <c:v>AÑO 2002</c:v>
                </c:pt>
              </c:strCache>
            </c:strRef>
          </c:tx>
          <c:spPr>
            <a:solidFill>
              <a:schemeClr val="accent1"/>
            </a:solidFill>
            <a:ln>
              <a:noFill/>
            </a:ln>
            <a:effectLst/>
          </c:spPr>
          <c:invertIfNegative val="0"/>
          <c:cat>
            <c:strRef>
              <c:f>Hoja1!$F$130:$F$143</c:f>
              <c:strCache>
                <c:ptCount val="14"/>
                <c:pt idx="0">
                  <c:v>Hasta 5</c:v>
                </c:pt>
                <c:pt idx="1">
                  <c:v>5,1-10</c:v>
                </c:pt>
                <c:pt idx="2">
                  <c:v>10,1-25</c:v>
                </c:pt>
                <c:pt idx="3">
                  <c:v>25,1-50</c:v>
                </c:pt>
                <c:pt idx="4">
                  <c:v>50,1-100</c:v>
                </c:pt>
                <c:pt idx="5">
                  <c:v>100,1-200</c:v>
                </c:pt>
                <c:pt idx="6">
                  <c:v>200,1-500</c:v>
                </c:pt>
                <c:pt idx="7">
                  <c:v>500,1-1000</c:v>
                </c:pt>
                <c:pt idx="8">
                  <c:v>1000,1-2500</c:v>
                </c:pt>
                <c:pt idx="9">
                  <c:v>2500,1-5000</c:v>
                </c:pt>
                <c:pt idx="10">
                  <c:v>5000,1-7500</c:v>
                </c:pt>
                <c:pt idx="11">
                  <c:v>7500,1-10000</c:v>
                </c:pt>
                <c:pt idx="12">
                  <c:v>10000,1-20000</c:v>
                </c:pt>
                <c:pt idx="13">
                  <c:v>20000, 1-Mas</c:v>
                </c:pt>
              </c:strCache>
            </c:strRef>
          </c:cat>
          <c:val>
            <c:numRef>
              <c:f>Hoja1!$G$130:$G$143</c:f>
              <c:numCache>
                <c:formatCode>General</c:formatCode>
                <c:ptCount val="14"/>
                <c:pt idx="0">
                  <c:v>0.11</c:v>
                </c:pt>
                <c:pt idx="1">
                  <c:v>0.1</c:v>
                </c:pt>
                <c:pt idx="2">
                  <c:v>0.2</c:v>
                </c:pt>
                <c:pt idx="3">
                  <c:v>0.3</c:v>
                </c:pt>
                <c:pt idx="4">
                  <c:v>0.56999999999999995</c:v>
                </c:pt>
                <c:pt idx="5">
                  <c:v>1.08</c:v>
                </c:pt>
                <c:pt idx="6">
                  <c:v>3.81</c:v>
                </c:pt>
                <c:pt idx="7">
                  <c:v>6.03</c:v>
                </c:pt>
                <c:pt idx="8">
                  <c:v>12.64</c:v>
                </c:pt>
                <c:pt idx="9">
                  <c:v>11.85</c:v>
                </c:pt>
                <c:pt idx="10">
                  <c:v>9.4600000000000009</c:v>
                </c:pt>
                <c:pt idx="11">
                  <c:v>6.96</c:v>
                </c:pt>
                <c:pt idx="12">
                  <c:v>12.41</c:v>
                </c:pt>
                <c:pt idx="13">
                  <c:v>32.67</c:v>
                </c:pt>
              </c:numCache>
            </c:numRef>
          </c:val>
          <c:extLst>
            <c:ext xmlns:c16="http://schemas.microsoft.com/office/drawing/2014/chart" uri="{C3380CC4-5D6E-409C-BE32-E72D297353CC}">
              <c16:uniqueId val="{00000000-1A98-4ADD-A924-141F22546F3B}"/>
            </c:ext>
          </c:extLst>
        </c:ser>
        <c:ser>
          <c:idx val="1"/>
          <c:order val="1"/>
          <c:tx>
            <c:strRef>
              <c:f>Hoja1!$H$128:$H$129</c:f>
              <c:strCache>
                <c:ptCount val="2"/>
                <c:pt idx="1">
                  <c:v>AÑO 2018</c:v>
                </c:pt>
              </c:strCache>
            </c:strRef>
          </c:tx>
          <c:spPr>
            <a:solidFill>
              <a:schemeClr val="accent2"/>
            </a:solidFill>
            <a:ln>
              <a:noFill/>
            </a:ln>
            <a:effectLst/>
          </c:spPr>
          <c:invertIfNegative val="0"/>
          <c:cat>
            <c:strRef>
              <c:f>Hoja1!$F$130:$F$143</c:f>
              <c:strCache>
                <c:ptCount val="14"/>
                <c:pt idx="0">
                  <c:v>Hasta 5</c:v>
                </c:pt>
                <c:pt idx="1">
                  <c:v>5,1-10</c:v>
                </c:pt>
                <c:pt idx="2">
                  <c:v>10,1-25</c:v>
                </c:pt>
                <c:pt idx="3">
                  <c:v>25,1-50</c:v>
                </c:pt>
                <c:pt idx="4">
                  <c:v>50,1-100</c:v>
                </c:pt>
                <c:pt idx="5">
                  <c:v>100,1-200</c:v>
                </c:pt>
                <c:pt idx="6">
                  <c:v>200,1-500</c:v>
                </c:pt>
                <c:pt idx="7">
                  <c:v>500,1-1000</c:v>
                </c:pt>
                <c:pt idx="8">
                  <c:v>1000,1-2500</c:v>
                </c:pt>
                <c:pt idx="9">
                  <c:v>2500,1-5000</c:v>
                </c:pt>
                <c:pt idx="10">
                  <c:v>5000,1-7500</c:v>
                </c:pt>
                <c:pt idx="11">
                  <c:v>7500,1-10000</c:v>
                </c:pt>
                <c:pt idx="12">
                  <c:v>10000,1-20000</c:v>
                </c:pt>
                <c:pt idx="13">
                  <c:v>20000, 1-Mas</c:v>
                </c:pt>
              </c:strCache>
            </c:strRef>
          </c:cat>
          <c:val>
            <c:numRef>
              <c:f>Hoja1!$H$130:$H$143</c:f>
              <c:numCache>
                <c:formatCode>General</c:formatCode>
                <c:ptCount val="14"/>
                <c:pt idx="0">
                  <c:v>0.11</c:v>
                </c:pt>
                <c:pt idx="1">
                  <c:v>0.11</c:v>
                </c:pt>
                <c:pt idx="2">
                  <c:v>0.19</c:v>
                </c:pt>
                <c:pt idx="3">
                  <c:v>0.26</c:v>
                </c:pt>
                <c:pt idx="4">
                  <c:v>0.45</c:v>
                </c:pt>
                <c:pt idx="5">
                  <c:v>0.86</c:v>
                </c:pt>
                <c:pt idx="6">
                  <c:v>4.18</c:v>
                </c:pt>
                <c:pt idx="7">
                  <c:v>6.69</c:v>
                </c:pt>
                <c:pt idx="8">
                  <c:v>13.94</c:v>
                </c:pt>
                <c:pt idx="9">
                  <c:v>10.41</c:v>
                </c:pt>
                <c:pt idx="10">
                  <c:v>6.66</c:v>
                </c:pt>
                <c:pt idx="11">
                  <c:v>5.21</c:v>
                </c:pt>
                <c:pt idx="12">
                  <c:v>10.75</c:v>
                </c:pt>
                <c:pt idx="13">
                  <c:v>40.03</c:v>
                </c:pt>
              </c:numCache>
            </c:numRef>
          </c:val>
          <c:extLst>
            <c:ext xmlns:c16="http://schemas.microsoft.com/office/drawing/2014/chart" uri="{C3380CC4-5D6E-409C-BE32-E72D297353CC}">
              <c16:uniqueId val="{00000001-1A98-4ADD-A924-141F22546F3B}"/>
            </c:ext>
          </c:extLst>
        </c:ser>
        <c:dLbls>
          <c:showLegendKey val="0"/>
          <c:showVal val="0"/>
          <c:showCatName val="0"/>
          <c:showSerName val="0"/>
          <c:showPercent val="0"/>
          <c:showBubbleSize val="0"/>
        </c:dLbls>
        <c:gapWidth val="219"/>
        <c:overlap val="-27"/>
        <c:axId val="2044723663"/>
        <c:axId val="2132196879"/>
      </c:barChart>
      <c:catAx>
        <c:axId val="20447236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2196879"/>
        <c:crosses val="autoZero"/>
        <c:auto val="1"/>
        <c:lblAlgn val="ctr"/>
        <c:lblOffset val="100"/>
        <c:noMultiLvlLbl val="0"/>
      </c:catAx>
      <c:valAx>
        <c:axId val="21321968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47236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0085F-058C-4D87-B00D-BB59205EA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6252</Words>
  <Characters>35639</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2020-09-15T12:48:00Z</dcterms:created>
  <dcterms:modified xsi:type="dcterms:W3CDTF">2020-09-15T12:48:00Z</dcterms:modified>
</cp:coreProperties>
</file>